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DECHWettbAbkV — Inkrafttreten</w:t>
      </w:r>
    </w:p>
    <w:p>
      <w:r>
        <w:rPr>
          <w:color w:val="555555"/>
          <w:sz w:val="18"/>
        </w:rPr>
        <w:t xml:space="preserve">Verordnung zum deutsch-schweizerischen Wettbewerbsabkommen</w:t>
      </w:r>
    </w:p>
    <w:p>
      <w:r>
        <w:rPr>
          <w:color w:val="555555"/>
          <w:sz w:val="18"/>
        </w:rPr>
        <w:t xml:space="preserve">Stand: 13.12.2024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DECHWettbAbkV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https://recht.nulegal.eu/gesetze/DECHWettbAbkV/2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