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DECHPolVtrUG — Unzulässigkeit der Vollstreckung</w:t>
      </w:r>
    </w:p>
    <w:p>
      <w:r>
        <w:rPr>
          <w:color w:val="555555"/>
          <w:sz w:val="18"/>
        </w:rPr>
        <w:t xml:space="preserve">Deutsch-Schweizerischer-Polizeivertrag-Umsetzungsgesetz</w:t>
      </w:r>
    </w:p>
    <w:p>
      <w:r>
        <w:rPr>
          <w:color w:val="555555"/>
          <w:sz w:val="18"/>
        </w:rPr>
        <w:t xml:space="preserve">Stand: 24.05.2024 (konsolidierte Textfassung, kein amtliches Inkrafttretensdatum)</w:t>
      </w:r>
    </w:p>
    <w:p>
      <w:r>
        <w:t xml:space="preserve">Die Vollstreckung einer schweizerischen Entscheidung ist unzulässig</w:t>
      </w:r>
    </w:p>
    <w:p>
      <w:pPr>
        <w:ind w:left="420"/>
      </w:pPr>
      <w:r>
        <w:t xml:space="preserve">1. bei Nichtvorliegen der in Artikel 48 Absatz 1 des Deutsch-Schweizerischen Polizeivertrages genannten Voraussetzungen sowie</w:t>
      </w:r>
    </w:p>
    <w:p>
      <w:pPr>
        <w:ind w:left="420"/>
      </w:pPr>
      <w:r>
        <w:t xml:space="preserve">2. in den Fällen des Artikels 48 Absatz 4 sowie des Artikels 49 Absatz 1 und 4 Satz 1 des Deutsch-Schweizerischen Polizeivertrages.</w:t>
      </w:r>
    </w:p>
    <w:p>
      <w:r>
        <w:rPr>
          <w:color w:val="555555"/>
          <w:sz w:val="17"/>
        </w:rPr>
        <w:t xml:space="preserve">Zitiervorschlag: § 3 DECHPolVtrUG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https://recht.nulegal.eu/gesetze/DECHPolVtrUG/3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