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DECHPolVtrUG — Zuständigkeit</w:t>
      </w:r>
    </w:p>
    <w:p>
      <w:r>
        <w:rPr>
          <w:color w:val="555555"/>
          <w:sz w:val="18"/>
        </w:rPr>
        <w:t xml:space="preserve">Deutsch-Schweizerischer-Polizeivertrag-Umsetzungsgesetz</w:t>
      </w:r>
    </w:p>
    <w:p>
      <w:r>
        <w:rPr>
          <w:color w:val="555555"/>
          <w:sz w:val="18"/>
        </w:rPr>
        <w:t xml:space="preserve">Stand: 24.05.2024 (konsolidierte Textfassung, kein amtliches Inkrafttretensdatum)</w:t>
      </w:r>
    </w:p>
    <w:p>
      <w:r>
        <w:t xml:space="preserve">Die Aufgaben nach den Artikeln 48 bis 51 des Deutsch-Schweizerischen Polizeivertrages nimmt das Bundesamt für Justiz als zentrale Bewilligungs- und Vollstreckungsbehörde für ein- und ausgehende Vollstreckungshilfeersuchen wahr.</w:t>
      </w:r>
    </w:p>
    <w:p>
      <w:r>
        <w:rPr>
          <w:color w:val="555555"/>
          <w:sz w:val="17"/>
        </w:rPr>
        <w:t xml:space="preserve">Zitiervorschlag: § 2 DECHPolVtrUG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https://recht.nulegal.eu/gesetze/DECHPolVtrUG/2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