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DECHPolVtrUG — Einschränkung von Grundrechten</w:t>
      </w:r>
    </w:p>
    <w:p>
      <w:r>
        <w:rPr>
          <w:color w:val="555555"/>
          <w:sz w:val="18"/>
        </w:rPr>
        <w:t xml:space="preserve">Deutsch-Schweizerischer-Polizeivertrag-Umsetzungsgesetz</w:t>
      </w:r>
    </w:p>
    <w:p>
      <w:r>
        <w:rPr>
          <w:color w:val="555555"/>
          <w:sz w:val="18"/>
        </w:rPr>
        <w:t xml:space="preserve">Stand: 24.05.2024 (konsolidierte Textfassung, kein amtliches Inkrafttretensdatum)</w:t>
      </w:r>
    </w:p>
    <w:p>
      <w:r>
        <w:t xml:space="preserve">Die Freiheit der Person (Artikel 2 Absatz 2 Satz 2 des Grundgesetzes) wird nach Maßgabe dieses Gesetzes eingeschränkt.</w:t>
      </w:r>
    </w:p>
    <w:p>
      <w:r>
        <w:rPr>
          <w:color w:val="555555"/>
          <w:sz w:val="17"/>
        </w:rPr>
        <w:t xml:space="preserve">Zitiervorschlag: § 18 DECHPolVtrUG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https://recht.nulegal.eu/gesetze/DECHPolVtrUG/18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