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DECHPolVtrUG — Ausschluss von Ersatzfreiheitsstrafen in ausgehenden Ersuchen</w:t>
      </w:r>
    </w:p>
    <w:p>
      <w:r>
        <w:rPr>
          <w:color w:val="555555"/>
          <w:sz w:val="18"/>
        </w:rPr>
        <w:t xml:space="preserve">Deutsch-Schweizerischer-Polizeivertrag-Umsetzungsgesetz</w:t>
      </w:r>
    </w:p>
    <w:p>
      <w:r>
        <w:rPr>
          <w:color w:val="555555"/>
          <w:sz w:val="18"/>
        </w:rPr>
        <w:t xml:space="preserve">Stand: 24.05.2024 (konsolidierte Textfassung, kein amtliches Inkrafttretensdatum)</w:t>
      </w:r>
    </w:p>
    <w:p>
      <w:r>
        <w:t xml:space="preserve">Die Anordnung einer Ersatzfreiheitsstrafe in der Schweiz ist im ausgehenden Ersuchen ausdrücklich auszuschließen.</w:t>
      </w:r>
    </w:p>
    <w:p>
      <w:r>
        <w:rPr>
          <w:color w:val="555555"/>
          <w:sz w:val="17"/>
        </w:rPr>
        <w:t xml:space="preserve">Zitiervorschlag: § 17 DECHPolVtrUG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https://recht.nulegal.eu/gesetze/DECHPolVtrUG/17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