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DECHPolVtrUG — Verbot der Doppelverfolgung</w:t>
      </w:r>
    </w:p>
    <w:p>
      <w:r>
        <w:rPr>
          <w:color w:val="555555"/>
          <w:sz w:val="18"/>
        </w:rPr>
        <w:t xml:space="preserve">Deutsch-Schweizerischer-Polizeivertrag-Umsetzungsgesetz</w:t>
      </w:r>
    </w:p>
    <w:p>
      <w:r>
        <w:rPr>
          <w:color w:val="555555"/>
          <w:sz w:val="18"/>
        </w:rPr>
        <w:t xml:space="preserve">Stand: 24.05.2024 (konsolidierte Textfassung, kein amtliches Inkrafttretensdatum)</w:t>
      </w:r>
    </w:p>
    <w:p>
      <w:r>
        <w:t xml:space="preserve">Wird die Vollstreckung einer schweizerischen Entscheidung bewilligt, so darf die Tat, die dieser Entscheidung zugrunde liegt, nach deutschem Recht nicht mehr als Straftat oder Ordnungswidrigkeit verfolgt werden.</w:t>
      </w:r>
    </w:p>
    <w:p>
      <w:r>
        <w:rPr>
          <w:color w:val="555555"/>
          <w:sz w:val="17"/>
        </w:rPr>
        <w:t xml:space="preserve">Zitiervorschlag: § 14 DECHPolVtrUG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https://recht.nulegal.eu/gesetze/DECHPolVtrUG/14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