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DEÜV — Abmeldung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Ende einer versicherungspflichtigen Beschäftigung ist mit der nächsten folgenden Lohn- und Gehaltsabrechnung, spätestens innerhalb von sechs Wochen nach ihrem Ende, zu melden.</w:t>
      </w:r>
    </w:p>
    <w:p>
      <w:r>
        <w:t xml:space="preserve">(2) Eine An- und eine Abmeldung können innerhalb der Frist des § 6 zusammen erstattet werden, wenn bis zur Abmeldung noch keine Anmeldung erfolgt ist.</w:t>
      </w:r>
    </w:p>
    <w:p>
      <w:r>
        <w:t xml:space="preserve">(3) Bei einer in § 28a Absatz 1 Satz 1 Nummer 18 des Vierten Buches Sozialgesetzbuch bezeichneten Änderung des Arbeitsentgelts sind eine Ab- und eine Anmeldung innerhalb der Frist des § 6 zusammen zu erstatten.</w:t>
      </w:r>
    </w:p>
    <w:p>
      <w:r>
        <w:rPr>
          <w:color w:val="555555"/>
          <w:sz w:val="17"/>
        </w:rPr>
        <w:t xml:space="preserve">Zitiervorschlag: § 8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