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DEÜV — Sofortmeldung</w:t>
      </w:r>
    </w:p>
    <w:p>
      <w:r>
        <w:rPr>
          <w:color w:val="555555"/>
          <w:sz w:val="18"/>
        </w:rPr>
        <w:t xml:space="preserve">Datenerfassungs- und -übermittlungsverordnung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Tag des Beginns eines Beschäftigungsverhältnisses ist in den in § 28a Abs. 4 Satz 1 bis 3 des Vierten Buches Sozialgesetzbuch genannten Wirtschaftsbereichen oder Wirtschaftszweigen spätestens bei Beschäftigungsaufnahme an die Datenstelle der Rentenversicherung zu melden.</w:t>
      </w:r>
    </w:p>
    <w:p>
      <w:r>
        <w:rPr>
          <w:color w:val="555555"/>
          <w:sz w:val="17"/>
        </w:rPr>
        <w:t xml:space="preserve">Zitiervorschlag: § 7 DEÜV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https://recht.nulegal.eu/gesetze/DE%C3%9CV/7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