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DEÜV — Anmeldung</w:t>
      </w:r>
    </w:p>
    <w:p>
      <w:r>
        <w:rPr>
          <w:color w:val="555555"/>
          <w:sz w:val="18"/>
        </w:rPr>
        <w:t xml:space="preserve">Datenerfassungs- und -übermittlungsverordnung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Beginn einer versicherungspflichtigen Beschäftigung ist mit der ersten folgenden Lohn- und Gehaltsabrechnung, spätestens innerhalb von sechs Wochen nach ihrem Beginn, zu melden.</w:t>
      </w:r>
    </w:p>
    <w:p>
      <w:r>
        <w:rPr>
          <w:color w:val="555555"/>
          <w:sz w:val="17"/>
        </w:rPr>
        <w:t xml:space="preserve">Zitiervorschlag: § 6 DEÜV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https://recht.nulegal.eu/gesetze/DE%C3%9CV/6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