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DEÜV — Anrechnungszeiten, Sperrzeiten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(1) Die Krankenkassen melden dem zuständigen Rentenversicherungsträger Anrechnungszeiten ihrer Mitglieder nach § 58 Abs. 1 Satz 1 Nr. 1 und 2 und Zeiten des Schulbesuches nach § 58 Abs. 1 Nr. 4 des Sechsten Buches Sozialgesetzbuch.</w:t>
      </w:r>
    </w:p>
    <w:p>
      <w:r>
        <w:t xml:space="preserve">(2) Die Bundesagentur für Arbeit und die zugelassenen kommunalen Träger nach § 6a des Zweiten Buches Sozialgesetzbuch melden dem zuständigen Rentenversicherungsträger Anrechnungszeiten nach § 58 Abs. 1 Satz 1 Nr. 3, 3a und für berufsvorbereitende Bildungsmaßnahmen nach Nr. 4 des Sechsten Buches Sozialgesetzbuch und Sperrzeiten nach § 159 des Dritten Buches Sozialgesetzbuch sowie Zeiten nach § 38 Absatz 4 des Dritten Buches Sozialgesetzbuch, in denen der Arbeitsuchende die Vermittlung durch die Agentur für Arbeit nicht in Anspruch nehmen konnte. Der zuständige Leistungsträger meldet dem zuständigen Rentenversicherungsträger Anrechnungszeiten nach § 58 Absatz 1 Satz 1 Nummer 6 des Sechsten Buches Sozialgesetzbuch.</w:t>
      </w:r>
    </w:p>
    <w:p>
      <w:r>
        <w:t xml:space="preserve">(3) Anrechnungszeiten nach den Absätzen 1 und 2, die länger als ein Kalenderjahr andauern, sind bis zum 30. April des folgenden Jahres dem zuständigen Rentenversicherungsträger zu melden. Satz 1 gilt nicht, wenn in der genannten Frist eine Meldung nach Absatz 1 oder 2 abgegeben worden ist.</w:t>
      </w:r>
    </w:p>
    <w:p>
      <w:r>
        <w:t xml:space="preserve">(4) Der Versicherte kann bei dem zuständigen Rentenversicherungsträger die Vormerkung einer Anrechnungszeit beantragen, wenn er nicht Mitglied einer Krankenkasse ist oder es sich um Zeiten eines Fachschul- oder Hochschulbesuches nach § 58 Abs. 1 Satz 1 Nr. 4 des Sechsten Buches Sozialgesetzbuch handelt. Das Gleiche gilt, wenn die Krankenkasse einen Antrag nach Absatz 1 abgelehnt hat, weil sie eine Anrechnungszeit nicht feststellen kann.</w:t>
      </w:r>
    </w:p>
    <w:p>
      <w:r>
        <w:t xml:space="preserve">(5) § 38 Abs. 2, 4 und 5 gilt entsprechend.</w:t>
      </w:r>
    </w:p>
    <w:p>
      <w:r>
        <w:t xml:space="preserve">(6) Die Krankenkassen und die Bundesagentur für Arbeit sind an Erklärungen der Rentenversicherungsträger zu Rechtsfragen von grundsätzlicher Bedeutung gebunden.</w:t>
      </w:r>
    </w:p>
    <w:p>
      <w:r>
        <w:rPr>
          <w:color w:val="555555"/>
          <w:sz w:val="17"/>
        </w:rPr>
        <w:t xml:space="preserve">Zitiervorschlag: § 39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