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DEÜV — Beitragsnachweise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04.07.2020 (konsolidierte Textfassung, kein amtliches Inkrafttretensdatum)</w:t>
      </w:r>
    </w:p>
    <w:p>
      <w:r>
        <w:t xml:space="preserve">Der Beitragsnachweis nach § 28f Abs. 3 Satz 1 des Vierten Buches Sozialgesetzbuch ist rechtzeitig einzureichen. Die §§ 2, 3, 5 Abs. 1, §§ 14, 16, 17, 19 bis 23, 31 Absatz 1, § 33 Absatz 1, 2 und 6, § 38 Abs. 1, 2 und 4 und § 40 Abs. 1 bis 3 gelten entsprechend.</w:t>
      </w:r>
    </w:p>
    <w:p>
      <w:r>
        <w:rPr>
          <w:color w:val="555555"/>
          <w:sz w:val="17"/>
        </w:rPr>
        <w:t xml:space="preserve">Zitiervorschlag: § 26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