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DEÜV — Meldepflichtige</w:t>
      </w:r>
    </w:p>
    <w:p>
      <w:r>
        <w:rPr>
          <w:color w:val="555555"/>
          <w:sz w:val="18"/>
        </w:rPr>
        <w:t xml:space="preserve">Datenerfassungs- und -übermittlungsverordnung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Meldungen sind zu erstatten von</w:t>
      </w:r>
    </w:p>
    <w:p>
      <w:pPr>
        <w:ind w:left="420"/>
      </w:pPr>
      <w:r>
        <w:t xml:space="preserve">1. dem Arbeitgeber,</w:t>
      </w:r>
    </w:p>
    <w:p>
      <w:pPr>
        <w:ind w:left="420"/>
      </w:pPr>
      <w:r>
        <w:t xml:space="preserve">2. Personen, die wie ein Arbeitgeber Beiträge auf Grund gesetzlicher Vorschriften zahlen,</w:t>
      </w:r>
    </w:p>
    <w:p>
      <w:pPr>
        <w:ind w:left="420"/>
      </w:pPr>
      <w:r>
        <w:t xml:space="preserve">3. Zahlstellen,</w:t>
      </w:r>
    </w:p>
    <w:p>
      <w:pPr>
        <w:ind w:left="420"/>
      </w:pPr>
      <w:r>
        <w:t xml:space="preserve">4. dem Bundesministerium der Verteidigung oder den von ihm bestimmten Stellen und dem Bundesamt für Familie und zivilgesellschaftliche Aufgaben,</w:t>
      </w:r>
    </w:p>
    <w:p>
      <w:pPr>
        <w:ind w:left="420"/>
      </w:pPr>
      <w:r>
        <w:t xml:space="preserve">5. den Leistungsträgern.</w:t>
      </w:r>
    </w:p>
    <w:p>
      <w:r>
        <w:rPr>
          <w:color w:val="555555"/>
          <w:sz w:val="17"/>
        </w:rPr>
        <w:t xml:space="preserve">Zitiervorschlag: § 2 DEÜV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https://recht.nulegal.eu/gesetze/DE%C3%9CV/2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