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11b DEÜV — Meldung von Arbeitsentgelten bei Mehrfachbeschäftigung auf Anforderung der Einzugsstelle</w:t>
      </w:r>
    </w:p>
    <w:p>
      <w:r>
        <w:rPr>
          <w:color w:val="555555"/>
          <w:sz w:val="18"/>
        </w:rPr>
        <w:t xml:space="preserve">Datenerfassungs- und -übermittlungsverordnung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Anforderung der Einzugsstelle hat der Arbeitgeber mit der ersten folgenden Lohn- und Gehaltsabrechnung, spätestens innerhalb von sechs Wochen nach Anforderung, die Entgeltmeldungen nach § 28a Absatz 1 Satz 1 Nummer 10 des Vierten Buches Sozialgesetzbuch an die zuständige Einzugsstelle zu melden.</w:t>
      </w:r>
    </w:p>
    <w:p>
      <w:r>
        <w:rPr>
          <w:color w:val="555555"/>
          <w:sz w:val="17"/>
        </w:rPr>
        <w:t xml:space="preserve">Zitiervorschlag: § 11b DEÜV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https://recht.nulegal.eu/gesetze/DE%C3%9CV/11b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