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11a DEÜV — Meldungen von Arbeitsentgelt bei flexiblen Arbeitszeitregelungen</w:t>
      </w:r>
    </w:p>
    <w:p>
      <w:r>
        <w:rPr>
          <w:color w:val="555555"/>
          <w:sz w:val="18"/>
        </w:rPr>
        <w:t xml:space="preserve">Datenerfassungs- und -übermittlungsverordnung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Arbeitsentgelt nach § 23b Abs. 2 bis 3 des Vierten Buches Sozialgesetzbuch ist mit der ersten folgenden Lohn- und Gehaltsabrechnung gesondert zu melden, wenn es nicht nach § 7c oder § 7f Abs. 2 Satz 1 des Vierten Buches Sozialgesetzbuch verwendet wird.</w:t>
      </w:r>
    </w:p>
    <w:p>
      <w:r>
        <w:rPr>
          <w:color w:val="555555"/>
          <w:sz w:val="17"/>
        </w:rPr>
        <w:t xml:space="preserve">Zitiervorschlag: § 11a DEÜV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https://recht.nulegal.eu/gesetze/DE%C3%9CV/11a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11a DEÜV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