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DEÜV — Meldung von einmalig gezahltem Arbeitsentgelt</w:t>
      </w:r>
    </w:p>
    <w:p>
      <w:r>
        <w:rPr>
          <w:color w:val="555555"/>
          <w:sz w:val="18"/>
        </w:rPr>
        <w:t xml:space="preserve">Datenerfassungs- und -übermittlungsverordnung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Arbeitgeber hat beitragspflichtiges einmalig gezahltes Arbeitsentgelt zusammen mit dem beitragspflichtigen laufend gezahlten Arbeitsentgelt zu melden.</w:t>
      </w:r>
    </w:p>
    <w:p>
      <w:r>
        <w:t xml:space="preserve">(2) Der Arbeitgeber hat beitragspflichtiges einmalig gezahltes Arbeitsentgelt mit der ersten folgenden Lohn- und Gehaltsabrechnung, spätestens innerhalb von sechs Wochen nach der Zahlung, gesondert zu melden, wenn</w:t>
      </w:r>
    </w:p>
    <w:p>
      <w:pPr>
        <w:ind w:left="420"/>
      </w:pPr>
      <w:r>
        <w:t xml:space="preserve">1. eine Meldung nach den §§ 8 bis 10 oder § 12 für das Kalenderjahr, dem das Arbeitsentgelt zuzuordnen ist, nicht mehr erfolgt,</w:t>
      </w:r>
    </w:p>
    <w:p>
      <w:pPr>
        <w:ind w:left="420"/>
      </w:pPr>
      <w:r>
        <w:t xml:space="preserve">2. die folgende Meldung nach den §§ 8 bis 10 oder § 12 kein beitragspflichtiges laufend gezahltes Arbeitsentgelt enthält,</w:t>
      </w:r>
    </w:p>
    <w:p>
      <w:pPr>
        <w:ind w:left="420"/>
      </w:pPr>
      <w:r>
        <w:t xml:space="preserve">3. für das beitragspflichtige laufend und einmalig gezahlte Arbeitsentgelt unterschiedliche Beitragsgruppen gelten oder</w:t>
      </w:r>
    </w:p>
    <w:p>
      <w:pPr>
        <w:ind w:left="420"/>
      </w:pPr>
      <w:r>
        <w:t xml:space="preserve">4. es sich um beitragspflichtiges einmalig gezahltes Arbeitsentgelt nach § 23a Absatz 4 Satz 1 des Vierten Buches Sozialgesetzbuch handelt.</w:t>
      </w:r>
    </w:p>
    <w:p>
      <w:r>
        <w:t xml:space="preserve">(3) Der Arbeitgeber hat beitragspflichtiges einmalig gezahltes Arbeitsentgelt gesondert zu melden, wenn die Auszahlung während einer nach § 9 gemeldeten Unterbrechung der Beschäftigung oder während des Bezuges einer nach § 38 gemeldeten Entgeltersatzleistung erfolgt.</w:t>
      </w:r>
    </w:p>
    <w:p>
      <w:r>
        <w:t xml:space="preserve">(4) (weggefallen)</w:t>
      </w:r>
    </w:p>
    <w:p>
      <w:r>
        <w:rPr>
          <w:color w:val="555555"/>
          <w:sz w:val="17"/>
        </w:rPr>
        <w:t xml:space="preserve">Zitiervorschlag: § 11 DEÜV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https://recht.nulegal.eu/gesetze/DE%C3%9CV/11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