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DDRIG — Inkrafttreten, Anwendungszeitraum</w:t>
      </w:r>
    </w:p>
    <w:p>
      <w:r>
        <w:rPr>
          <w:color w:val="555555"/>
          <w:sz w:val="18"/>
        </w:rPr>
        <w:t xml:space="preserve">DDR-Investitionsgesetz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der Verkündung in Kraft. Es ist erstmals anzuwenden für Wirtschaftsjahre, die im Veranlagungszeitraum 1990 enden.</w:t>
      </w:r>
    </w:p>
    <w:p>
      <w:r>
        <w:t xml:space="preserve">(2) Eine Rücklage nach § 1 kann nur gebildet werden, wenn die Wirtschaftsgüter vor dem 1. Januar 1992 überführt werden.</w:t>
      </w:r>
    </w:p>
    <w:p>
      <w:r>
        <w:t xml:space="preserve">(3) Eine Rücklage nach § 2 kann nur gebildet werden, wenn der Erwerb neuer Anteile im Sinne des § 2 Abs. 1 Satz 2 vor dem 1. Januar 1992 stattgefunden hat. Die Bildung der Rücklage ist ausgeschlossen, soweit der Verlust der Tochtergesellschaft</w:t>
      </w:r>
    </w:p>
    <w:p>
      <w:pPr>
        <w:ind w:left="420"/>
      </w:pPr>
      <w:r>
        <w:t xml:space="preserve">1. nach den §§ 14 bis 17 des Körperschaftsteuergesetzes einem Organträger zuzurechnen ist oder</w:t>
      </w:r>
    </w:p>
    <w:p>
      <w:pPr>
        <w:ind w:left="420"/>
      </w:pPr>
      <w:r>
        <w:t xml:space="preserve">2. bei der Einkommensermittlung der Tochtergesellschaft nach § 10d Abs. 1 des Einkommensteuergesetzes in Verbindung mit § 8 Abs. 1 und 5 des Körperschaftsteuergesetzes abgezogen worden ist.</w:t>
      </w:r>
    </w:p>
    <w:p>
      <w:r>
        <w:rPr>
          <w:color w:val="555555"/>
          <w:sz w:val="17"/>
        </w:rPr>
        <w:t xml:space="preserve">Zitiervorschlag: § 7 DDRIG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https://recht.nulegal.eu/gesetze/DDRIG/7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