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DDRIG — Gewerbesteuer</w:t>
      </w:r>
    </w:p>
    <w:p>
      <w:r>
        <w:rPr>
          <w:color w:val="555555"/>
          <w:sz w:val="18"/>
        </w:rPr>
        <w:t xml:space="preserve">DDR-Investitionsgesetz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der §§ 1 und 2 gelten auch für die Ermittlung des Gewerbeertrags nach § 7 des Gewerbesteuergesetzes.</w:t>
      </w:r>
    </w:p>
    <w:p>
      <w:r>
        <w:rPr>
          <w:color w:val="555555"/>
          <w:sz w:val="17"/>
        </w:rPr>
        <w:t xml:space="preserve">Zitiervorschlag: § 3 DDRIG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https://recht.nulegal.eu/gesetze/DDRIG/3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