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DDR-EErfG — Ausschluss doppelter Entschädigung</w:t>
      </w:r>
    </w:p>
    <w:p>
      <w:r>
        <w:rPr>
          <w:color w:val="555555"/>
          <w:sz w:val="18"/>
        </w:rPr>
        <w:t xml:space="preserve">DDR-Entschädigungserfüllungsgesetz</w:t>
      </w:r>
    </w:p>
    <w:p>
      <w:r>
        <w:rPr>
          <w:color w:val="555555"/>
          <w:sz w:val="18"/>
        </w:rPr>
        <w:t xml:space="preserve">Stand: 10.06.2019 (konsolidierte Textfassung, kein amtliches Inkrafttretensdatum)</w:t>
      </w:r>
    </w:p>
    <w:p>
      <w:r>
        <w:t xml:space="preserve">Hat der Berechtigte für den Verlust des enteigneten Vermögenswerts oder für die Entziehung des Entschädigungsanspruchs eine Leistung nach dem Gesetz zur Regelung offener Vermögensfragen, dem Entschädigungsgesetz oder dem Ausgleichsleistungsgesetz vom 27. September 1994 (BGBl. I S. 2624) oder Leistungen nach dem Lastenausgleichsgesetz erhalten oder steht ihm eine solche Leistung zu, so scheiden Ansprüche nach diesem Gesetz aus.</w:t>
      </w:r>
    </w:p>
    <w:p>
      <w:r>
        <w:rPr>
          <w:color w:val="555555"/>
          <w:sz w:val="17"/>
        </w:rPr>
        <w:t xml:space="preserve">Zitiervorschlag: § 7 DDR-EErfG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https://recht.nulegal.eu/gesetze/DDR-EErfG/7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