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DDR-EErfG — Verfahren</w:t>
      </w:r>
    </w:p>
    <w:p>
      <w:r>
        <w:rPr>
          <w:color w:val="555555"/>
          <w:sz w:val="18"/>
        </w:rPr>
        <w:t xml:space="preserve">DDR-Entschädigungserfüllungsgesetz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Abschnitte V und VI des Vermögensgesetzes gelten entsprechend. § 32 Abs. 1 des Vermögensgesetzes findet keine Anwendung. Für Widerspruchsverfahren gilt § 26 Abs. 3 des Vermögensgesetzes entsprechend.</w:t>
      </w:r>
    </w:p>
    <w:p>
      <w:r>
        <w:rPr>
          <w:color w:val="555555"/>
          <w:sz w:val="17"/>
        </w:rPr>
        <w:t xml:space="preserve">Zitiervorschlag: § 6 DDR-EErfG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https://recht.nulegal.eu/gesetze/DDR-EErfG/6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