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DDR-EErfG — Zuständigkeit</w:t>
      </w:r>
    </w:p>
    <w:p>
      <w:r>
        <w:rPr>
          <w:color w:val="555555"/>
          <w:sz w:val="18"/>
        </w:rPr>
        <w:t xml:space="preserve">DDR-Entschädigungserfüllungsgesetz</w:t>
      </w:r>
    </w:p>
    <w:p>
      <w:r>
        <w:rPr>
          <w:color w:val="555555"/>
          <w:sz w:val="18"/>
        </w:rPr>
        <w:t xml:space="preserve">Stand: 10.06.2019 (konsolidierte Textfassung, kein amtliches Inkrafttretensdatum)</w:t>
      </w:r>
    </w:p>
    <w:p>
      <w:r>
        <w:t xml:space="preserve">Über Ansprüche nach den §§ 1 und 2 entscheiden die für die Durchführung des Vermögensgesetzes zuständigen Behörden. Zuständig ist das Amt, Staatliche Amt oder Landesamt zur Regelung offener Vermögensfragen, in dessen Bezirk das enteignete Grundstück oder Gebäude belegen ist oder das enteignete Unternehmen seinen Sitz hatte. Ist ein vermögensrechtliches Verfahren bei einem Amt anhängig oder anhängig gewesen, so bleibt dieses zuständig. Die Landesregierungen werden ermächtigt, anstelle der nach Satz 1 und 2 zuständigen Behörde durch Rechtsverordnung einer anderen Landesbehörde die Aufgaben nach diesem Gesetz zu übertragen.</w:t>
      </w:r>
    </w:p>
    <w:p>
      <w:r>
        <w:rPr>
          <w:color w:val="555555"/>
          <w:sz w:val="17"/>
        </w:rPr>
        <w:t xml:space="preserve">Zitiervorschlag: § 4 DDR-EErfG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https://recht.nulegal.eu/gesetze/DDR-EErfG/4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