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DDR-EErfG — Währungsumstellung</w:t>
      </w:r>
    </w:p>
    <w:p>
      <w:r>
        <w:rPr>
          <w:color w:val="555555"/>
          <w:sz w:val="18"/>
        </w:rPr>
        <w:t xml:space="preserve">DDR-Entschädigungserfüllungsgesetz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Mark der Deutschen Demokratischen Republik begründete Anspruch ist im Verhältnis 2 zu 1 auf Deutsche Mark umzustellen; dieser Betrag ist auf Euro umzustellen. Der Anspruch ist abweichend von § 7 Abs. 2 des Entschädigungsgesetzes vom 25. April 1960 (GBl. I Nr. 26 S. 257), § 3 Abs. 2 des Entschädigungsgesetzes vom 15. Juni 1984 (GBl. I Nr. 17 S. 209) und § 6 Abs. 2 und § 12 Abs. 2 der Verordnung über die Entschädigung ehemaliger Gesellschafter für Beteiligungen an enteigneten Unternehmen und die Befriedigung langfristiger Verbindlichkeiten aus der Zeit nach dem 8. Mai 1945 vom 23. August 1956 (GBl. I Nr. 77 S. 683) ab dem 17. Dezember 2003 mit 4 vom Hundert für das Jahr zu verzinsen. Entsprechendes gilt für die in Mark der Deutschen Demokratischen Republik begründeten nach § 2 aus der Entschädigung zu erfüllenden Forderungen.</w:t>
      </w:r>
    </w:p>
    <w:p>
      <w:r>
        <w:rPr>
          <w:color w:val="555555"/>
          <w:sz w:val="17"/>
        </w:rPr>
        <w:t xml:space="preserve">Zitiervorschlag: § 3 DDR-EErfG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https://recht.nulegal.eu/gesetze/DDR-EErfG/3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