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DDR-EErfG — Rechte an enteigneten Grundstücken</w:t>
      </w:r>
    </w:p>
    <w:p>
      <w:r>
        <w:rPr>
          <w:color w:val="555555"/>
          <w:sz w:val="18"/>
        </w:rPr>
        <w:t xml:space="preserve">DDR-Entschädigungserfüllungsgesetz</w:t>
      </w:r>
    </w:p>
    <w:p>
      <w:r>
        <w:rPr>
          <w:color w:val="555555"/>
          <w:sz w:val="18"/>
        </w:rPr>
        <w:t xml:space="preserve">Stand: 10.06.2019 (konsolidierte Textfassung, kein amtliches Inkrafttretensdatum)</w:t>
      </w:r>
    </w:p>
    <w:p>
      <w:r>
        <w:t xml:space="preserve">Gläubiger von Rechten an einem Grundstück oder Gebäude, die bei Inanspruchnahme im Grundbuch eingetragen waren, sowie ihre Rechtsnachfolger haben Anspruch auf Erfüllung ihrer dem dinglichen Recht zugrunde liegenden Forderung aus der zu zahlenden Entschädigung, soweit sie noch keinen Ausgleich erhalten haben; die Gewährung von Ausgleichsforderungen nach § 40 des D-Markbilanzgesetzes gilt insoweit nicht als Ausgleich. Übersteigt die Summe der geltend gemachten Forderungen den Entschädigungsbetrag, so sind die Leistungen für die Forderungen entsprechend zu kürzen. § 3 Abs. 4 Satz 3 und 4 des Entschädigungsgesetzes vom 27. September 1994 (BGBl. I S. 2624) gilt entsprechend.</w:t>
      </w:r>
    </w:p>
    <w:p>
      <w:r>
        <w:rPr>
          <w:color w:val="555555"/>
          <w:sz w:val="17"/>
        </w:rPr>
        <w:t xml:space="preserve">Zitiervorschlag: § 2 DDR-EErfG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https://recht.nulegal.eu/gesetze/DDR-EErfG/2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