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DDR-EErfG — Anspruch auf nachträgliche Erfüllung eines Entschädigungsanspruchs</w:t>
      </w:r>
    </w:p>
    <w:p>
      <w:r>
        <w:rPr>
          <w:color w:val="555555"/>
          <w:sz w:val="18"/>
        </w:rPr>
        <w:t xml:space="preserve">DDR-Entschädigungserfüllungsgesetz</w:t>
      </w:r>
    </w:p>
    <w:p>
      <w:r>
        <w:rPr>
          <w:color w:val="555555"/>
          <w:sz w:val="18"/>
        </w:rPr>
        <w:t xml:space="preserve">Stand: 10.06.2019 (konsolidierte Textfassung, kein amtliches Inkrafttretensdatum)</w:t>
      </w:r>
    </w:p>
    <w:p>
      <w:r>
        <w:t xml:space="preserve">(1) Ist ein Anspruch auf Entschädigung nach den zum Zeitpunkt der Enteignung in der früheren Deutschen Demokratischen Republik anzuwendenden gesetzlichen Bestimmungen nicht erfüllt worden, so richtet sich dieser gegen denjenigen Träger öffentlicher Verwaltung, der den enteigneten Vermögenswert aufgrund der Bestimmungen des Einigungsvertrages unmittelbar oder mittelbar erhalten hat. Wurde der enteignete Vermögenswert vor dem 3. Oktober 1990 aus Volkseigentum veräußert oder ist vor dem 3. Oktober 1990 für den enteigneten Vermögenswert nachweislich eine Gegenleistung an den Staatshaushalt der Deutschen Demokratischen Republik entrichtet worden, richtet sich der Anspruch gegen den Entschädigungsfonds.</w:t>
      </w:r>
    </w:p>
    <w:p>
      <w:r>
        <w:t xml:space="preserve">(2) Dieses Gesetz ist entsprechend auf Entschädigungen anzuwenden, die im Beitrittsgebiet bei Enteignungen auf besatzungsrechtlicher oder besatzungshoheitlicher Grundlage vorgesehen waren. Dies gilt auch für zunächst freigestellte Beteiligungen von ausländischen Gesellschaftern an den auf der genannten Grundlage enteigneten Unternehmensträgern; der Antragsteller hat in diesen Fällen den Verzicht auf etwaig fortbestehende Beteiligungs- oder sonstige Vermögensrechte zu erklären, die im Zusammenhang mit der Enteignung dem ausländischen Gesellschafter an dem neu gebildeten Unternehmensträger eingeräumt worden waren.</w:t>
      </w:r>
    </w:p>
    <w:p>
      <w:r>
        <w:t xml:space="preserve">(3) Ist ein Anspruch auf Entschädigung in der früheren Deutschen Demokratischen Republik nicht festgesetzt worden, so bemisst sich die Entschädigung</w:t>
      </w:r>
    </w:p>
    <w:p>
      <w:pPr>
        <w:ind w:left="420"/>
      </w:pPr>
      <w:r>
        <w:t xml:space="preserve">1. bei Grundstücken und Gebäuden nach dem 1,3fachen des vor der Schädigung zuletzt festgestellten Einheitswertes, Ersatzeinheitswertes oder Hilfswertes im Sinne des § 3 Abs. 1 bis 3 des Entschädigungsgesetzes vom 27. September 1994 (BGBl. I S. 2624),</w:t>
      </w:r>
    </w:p>
    <w:p>
      <w:pPr>
        <w:ind w:left="420"/>
      </w:pPr>
      <w:r>
        <w:t xml:space="preserve">2. bei Gesellschaftsanteilen nach dem 1,3fachen des im Hauptfeststellungszeitraum vor der Schädigung zuletzt festgestellten Einheitswertes, Ersatzeinheitswertes oder Reinvermögens im Sinne von § 4 des Entschädigungsgesetzes,</w:t>
      </w:r>
    </w:p>
    <w:p>
      <w:pPr>
        <w:ind w:left="420"/>
      </w:pPr>
      <w:r>
        <w:t xml:space="preserve">3. bei Ansprüchen auf Befriedigung langfristiger Verbindlichkeiten nach § 5 des Entschädigungsgesetzes,</w:t>
      </w:r>
    </w:p>
    <w:p>
      <w:pPr>
        <w:ind w:left="420"/>
      </w:pPr>
      <w:r>
        <w:t xml:space="preserve">4. bei Ansprüchen auf bewegliche Sachen nach § 5a des Entschädigungsgesetzes.</w:t>
      </w:r>
    </w:p>
    <w:p>
      <w:r>
        <w:rPr>
          <w:color w:val="555555"/>
          <w:sz w:val="17"/>
        </w:rPr>
        <w:t xml:space="preserve">Zitiervorschlag: § 1 DDR-EErfG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https://recht.nulegal.eu/gesetze/DDR-EErfG/1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