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DDG — Anspruch auf Sperrung bei Rechtsverletzung</w:t>
      </w:r>
    </w:p>
    <w:p>
      <w:r>
        <w:rPr>
          <w:color w:val="555555"/>
          <w:sz w:val="18"/>
        </w:rPr>
        <w:t xml:space="preserve">Digitale-Dienste-Gesetz</w:t>
      </w:r>
    </w:p>
    <w:p>
      <w:r>
        <w:rPr>
          <w:color w:val="555555"/>
          <w:sz w:val="18"/>
        </w:rPr>
        <w:t xml:space="preserve">Stand: 14.05.2024 (konsolidierte Textfassung, kein amtliches Inkrafttretensdatum)</w:t>
      </w:r>
    </w:p>
    <w:p>
      <w:r>
        <w:t xml:space="preserve">(1) Wurde ein digitaler Dienst, der darin besteht, von einem Nutzer bereitgestellte Informationen in einem Kommunikationsnetz zu übermitteln oder den Zugang zu einem Kommunikationsnetz zu vermitteln, von einem Nutzer in Anspruch genommen, um das Recht am geistigen Eigentum eines anderen zu verletzen, und besteht für den Inhaber des Rechts keine andere Möglichkeit, der Verletzung seines Rechts abzuhelfen, so kann der Inhaber des Rechts von dem betroffenen Diensteanbieter die Sperrung der Nutzung von Informationen verlangen, um die Wiederholung der Rechtsverletzung zu verhindern.</w:t>
      </w:r>
    </w:p>
    <w:p>
      <w:r>
        <w:t xml:space="preserve">(2) Die Sperrung muss zumutbar und verhältnismäßig sein.</w:t>
      </w:r>
    </w:p>
    <w:p>
      <w:r>
        <w:t xml:space="preserve">(3) Ein Anspruch gegen den Diensteanbieter auf Erstattung der vor- und außergerichtlichen Kosten für die Geltendmachung und Durchsetzung des Anspruchs nach Absatz 1 besteht nicht, es sei denn, der Diensteanbieter arbeitet absichtlich mit einem Nutzer seines Dienstes zusammen, um das geistige Eigentum eines anderen zu verletzen.</w:t>
      </w:r>
    </w:p>
    <w:p>
      <w:r>
        <w:t xml:space="preserve">(4) Die Absätze 1 bis 3 gelten auch dann, wenn der Dienst unentgeltlich oder durch öffentliche Stellen erbracht wird. Verpflichtungen zur Entfernung von Informationen oder zur Sperrung der Nutzung von Informationen nach den allgemeinen Gesetzen aufgrund von gerichtlichen oder behördlichen Anordnungen bleiben auch im Fall einer beschränkten Verantwortlichkeit des Diensteanbieters nach den Artikeln 4 bis 6 der Verordnung (EU) 2022/2065 und des § 7 unberührt.</w:t>
      </w:r>
    </w:p>
    <w:p>
      <w:r>
        <w:rPr>
          <w:color w:val="555555"/>
          <w:sz w:val="17"/>
        </w:rPr>
        <w:t xml:space="preserve">Zitiervorschlag: § 8 DDG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