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DDG — Besondere Pflichten bei kommerziellen Kommunikationen</w:t>
      </w:r>
    </w:p>
    <w:p>
      <w:r>
        <w:rPr>
          <w:color w:val="555555"/>
          <w:sz w:val="18"/>
        </w:rPr>
        <w:t xml:space="preserve">Digitale-Dienste-Gesetz</w:t>
      </w:r>
    </w:p>
    <w:p>
      <w:r>
        <w:rPr>
          <w:color w:val="555555"/>
          <w:sz w:val="18"/>
        </w:rPr>
        <w:t xml:space="preserve">Stand: 14.05.2024 (konsolidierte Textfassung, kein amtliches Inkrafttretensdatum)</w:t>
      </w:r>
    </w:p>
    <w:p>
      <w:r>
        <w:t xml:space="preserve">(1) Diensteanbieter haben bei kommerziellen Kommunikationen, die digitale Dienste oder Bestandteile von digitalen Diensten sind, mindestens zu beachten, dass</w:t>
      </w:r>
    </w:p>
    <w:p>
      <w:pPr>
        <w:ind w:left="420"/>
      </w:pPr>
      <w:r>
        <w:t xml:space="preserve">1. kommerzielle Kommunikationen klar als solche zu erkennen sein müssen,</w:t>
      </w:r>
    </w:p>
    <w:p>
      <w:pPr>
        <w:ind w:left="420"/>
      </w:pPr>
      <w:r>
        <w:t xml:space="preserve">2. die natürliche oder juristische Person, in deren Auftrag kommerzielle Kommunikationen erfolgen, klar identifizierbar sein muss,</w:t>
      </w:r>
    </w:p>
    <w:p>
      <w:pPr>
        <w:ind w:left="420"/>
      </w:pPr>
      <w:r>
        <w:t xml:space="preserve">3. Angebote zur Verkaufsförderung wie Preisnachlässe, Zugaben und Geschenke klar als solche erkennbar sein müssen und die Bedingungen für ihre Inanspruchnahme leicht zugänglich sein sowie klar und unzweideutig angegeben werden müssen und</w:t>
      </w:r>
    </w:p>
    <w:p>
      <w:pPr>
        <w:ind w:left="420"/>
      </w:pPr>
      <w:r>
        <w:t xml:space="preserve">4. Preisausschreiben oder Gewinnspiele mit Werbecharakter klar als solche erkennbar sein müssen und die Teilnahmebedingungen leicht zugänglich sein sowie klar und unzweideutig angegeben werden müssen.</w:t>
      </w:r>
    </w:p>
    <w:p>
      <w:r>
        <w:t xml:space="preserve">(2) Werden kommerzielle Kommunikationen per elektronischer Post versandt, darf in der Kopf- und in der Betreffzeile weder der Absender noch der kommerzielle Charakter der Nachricht verschleiert oder verheimlicht werden. Ein Verschleiern oder Verheimlichen liegt dann vor, wenn die Kopf- oder die Betreffzeile absichtlich so gestaltet ist, dass der Empfänger vor Einsichtnahme in den Inhalt der Kommunikation keine oder irreführende Informationen über die tatsächliche Identität des Absenders oder den kommerziellen Charakter der Nachricht erhält.</w:t>
      </w:r>
    </w:p>
    <w:p>
      <w:r>
        <w:t xml:space="preserve">(3) Videosharingplattform-Anbieter müssen eine Funktion bereitstellen, mit der Nutzer, die nutzergenerierte Videos hochladen, erklären können, ob diese Videos audiovisuelle kommerzielle Kommunikation enthalten.</w:t>
      </w:r>
    </w:p>
    <w:p>
      <w:r>
        <w:t xml:space="preserve">(4) Videosharingplattform-Anbieter sind verpflichtet, audiovisuelle kommerzielle Kommunikation, die Nutzer auf den Videosharingplattform-Dienst hochgeladen haben, als solche zu kennzeichnen, sofern sie nach Absatz 3 oder anderweitig Kenntnis von dieser erlangt haben.</w:t>
      </w:r>
    </w:p>
    <w:p>
      <w:r>
        <w:t xml:space="preserve">(5) Die Vorschriften des Gesetzes gegen den unlauteren Wettbewerb und der Preisangabenverordnung bleiben unberührt.</w:t>
      </w:r>
    </w:p>
    <w:p>
      <w:r>
        <w:rPr>
          <w:color w:val="555555"/>
          <w:sz w:val="17"/>
        </w:rPr>
        <w:t xml:space="preserve">Zitiervorschlag: § 6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https://recht.nulegal.eu/gesetze/DDG/6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