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DDG — Bußgeldvorschriften</w:t>
      </w:r>
    </w:p>
    <w:p>
      <w:r>
        <w:rPr>
          <w:color w:val="555555"/>
          <w:sz w:val="18"/>
        </w:rPr>
        <w:t xml:space="preserve">Digitale-Dienste-Gesetz</w:t>
      </w:r>
    </w:p>
    <w:p>
      <w:r>
        <w:rPr>
          <w:color w:val="555555"/>
          <w:sz w:val="18"/>
        </w:rPr>
        <w:t xml:space="preserve">Stand: 01.07.2026 (konsolidierte Textfassung, kein amtliches Inkrafttretensdatum)</w:t>
      </w:r>
    </w:p>
    <w:p>
      <w:r>
        <w:t xml:space="preserve">(1) Ordnungswidrig handelt, wer absichtlich entgegen § 6 Absatz 2 Satz 1 den Absender oder den kommerziellen Charakter der Nachricht verschleiert oder verheimlicht.</w:t>
      </w:r>
    </w:p>
    <w:p>
      <w:r>
        <w:t xml:space="preserve">(2) Ordnungswidrig handelt, wer vorsätzlich oder fahrlässig</w:t>
      </w:r>
    </w:p>
    <w:p>
      <w:pPr>
        <w:ind w:left="420"/>
      </w:pPr>
      <w:r>
        <w:t xml:space="preserve">1. entgegen § 5 Absatz 1 eine Information nicht, nicht richtig oder nicht vollständig verfügbar hält,</w:t>
      </w:r>
    </w:p>
    <w:p>
      <w:pPr>
        <w:ind w:left="420"/>
      </w:pPr>
      <w:r>
        <w:t xml:space="preserve">2. entgegen § 10 Absatz 1 eine Auskunft nicht, nicht richtig, nicht vollständig oder nicht rechtzeitig erteilt,</w:t>
      </w:r>
    </w:p>
    <w:p>
      <w:pPr>
        <w:ind w:left="420"/>
      </w:pPr>
      <w:r>
        <w:t xml:space="preserve">2a. entgegen § 22c Absatz 2 Satz 1 eine allgemeine Bedingung bekannt macht,</w:t>
      </w:r>
    </w:p>
    <w:p>
      <w:pPr>
        <w:ind w:left="420"/>
      </w:pPr>
      <w:r>
        <w:t xml:space="preserve">3. entgegen</w:t>
      </w:r>
    </w:p>
    <w:p>
      <w:pPr>
        <w:ind w:left="780"/>
      </w:pPr>
      <w:r>
        <w:t xml:space="preserve">a) § 25 Absatz 1 Satz 1, auch in Verbindung mit Satz 3, oder</w:t>
      </w:r>
    </w:p>
    <w:p>
      <w:pPr>
        <w:ind w:left="780"/>
      </w:pPr>
      <w:r>
        <w:t xml:space="preserve">b) § 30 Absatz 1 in Verbindung mit § 203 Absatz 1 Satz 1 des Telekommunikationsgesetzes</w:t>
      </w:r>
    </w:p>
    <w:p>
      <w:pPr>
        <w:ind w:left="420"/>
      </w:pPr>
      <w:r>
        <w:t xml:space="preserve">eine Information nicht, nicht richtig, nicht vollständig oder nicht rechtzeitig zur Verfügung stellt oder</w:t>
      </w:r>
    </w:p>
    <w:p>
      <w:pPr>
        <w:ind w:left="420"/>
      </w:pPr>
      <w:r>
        <w:t xml:space="preserve">4. entgegen</w:t>
      </w:r>
    </w:p>
    <w:p>
      <w:pPr>
        <w:ind w:left="780"/>
      </w:pPr>
      <w:r>
        <w:t xml:space="preserve">a) § 25 Absatz 1 Satz 2, auch in Verbindung mit Satz 3, oder</w:t>
      </w:r>
    </w:p>
    <w:p>
      <w:pPr>
        <w:ind w:left="780"/>
      </w:pPr>
      <w:r>
        <w:t xml:space="preserve">b) § 30 Absatz 1 in Verbindung mit § 204 Absatz 1 Satz 1 Nummer 3 des Telekommunikationsgesetzes</w:t>
      </w:r>
    </w:p>
    <w:p>
      <w:pPr>
        <w:ind w:left="420"/>
      </w:pPr>
      <w:r>
        <w:t xml:space="preserve">eine dort genannte Prüfung oder ein dort genanntes Betreten nicht duldet.</w:t>
      </w:r>
    </w:p>
    <w:p>
      <w:r>
        <w:t xml:space="preserve">(2a) Ordnungswidrig handelt, wer gegen die Verordnung (EU) 2018/302 in der Fassung vom 28. Februar 2018 verstößt, indem er vorsätzlich oder fahrlässig</w:t>
      </w:r>
    </w:p>
    <w:p>
      <w:pPr>
        <w:ind w:left="420"/>
      </w:pPr>
      <w:r>
        <w:t xml:space="preserve">1. entgegen Artikel 3 Absatz 1 einen Zugang zur Online-Benutzeroberfläche sperrt oder beschränkt,</w:t>
      </w:r>
    </w:p>
    <w:p>
      <w:pPr>
        <w:ind w:left="420"/>
      </w:pPr>
      <w:r>
        <w:t xml:space="preserve">2. entgegen Artikel 3 Absatz 2 Unterabsatz 1 einen Kunden zu einer dort genannten Version der Online-Benutzeroberfläche weiterleitet,</w:t>
      </w:r>
    </w:p>
    <w:p>
      <w:pPr>
        <w:ind w:left="420"/>
      </w:pPr>
      <w:r>
        <w:t xml:space="preserve">3. entgegen Artikel 4 Absatz 1 unterschiedliche Allgemeine Geschäftsbedingungen anwendet oder</w:t>
      </w:r>
    </w:p>
    <w:p>
      <w:pPr>
        <w:ind w:left="420"/>
      </w:pPr>
      <w:r>
        <w:t xml:space="preserve">4. entgegen Artikel 5 Absatz 1 unterschiedliche Bedingungen für einen Zahlungsvorgang anwendet.</w:t>
      </w:r>
    </w:p>
    <w:p>
      <w:r>
        <w:t xml:space="preserve">(3) Ordnungswidrig handelt, wer gegen die Verordnung (EU) 2019/1150 in der Fassung vom 20. Juni 2019 verstößt, indem er vorsätzlich oder fahrlässig</w:t>
      </w:r>
    </w:p>
    <w:p>
      <w:pPr>
        <w:ind w:left="420"/>
      </w:pPr>
      <w:r>
        <w:t xml:space="preserve">1. entgegen Artikel 3 Absatz 5 nicht sicherstellt, dass die dort genannte Identität erkennbar ist,</w:t>
      </w:r>
    </w:p>
    <w:p>
      <w:pPr>
        <w:ind w:left="420"/>
      </w:pPr>
      <w:r>
        <w:t xml:space="preserve">2. entgegen Artikel 4 Absatz 1 oder Absatz 2, jeweils in Verbindung mit Artikel 4 Absatz 5, eine Begründung nicht, nicht richtig, nicht vollständig, nicht in der vorgeschriebenen Weise oder nicht rechtzeitig übermittelt,</w:t>
      </w:r>
    </w:p>
    <w:p>
      <w:pPr>
        <w:ind w:left="420"/>
      </w:pPr>
      <w:r>
        <w:t xml:space="preserve">3. entgegen Artikel 4 Absatz 3 Satz 1 oder Artikel 5 Absatz 4 eine dort genannte Möglichkeit nicht, nicht richtig, nicht vollständig oder nicht rechtzeitig bietet,</w:t>
      </w:r>
    </w:p>
    <w:p>
      <w:pPr>
        <w:ind w:left="420"/>
      </w:pPr>
      <w:r>
        <w:t xml:space="preserve">4. entgegen Artikel 4 Absatz 3 Satz 2 einen gewerblichen Nutzer nicht, nicht richtig, nicht vollständig oder nicht rechtzeitig einsetzt,</w:t>
      </w:r>
    </w:p>
    <w:p>
      <w:pPr>
        <w:ind w:left="420"/>
      </w:pPr>
      <w:r>
        <w:t xml:space="preserve">5. entgegen Artikel 4 Absatz 4 Unterabsatz 2 eine Begründung nicht, nicht richtig, nicht vollständig, nicht in der vorgeschriebenen Weise oder nicht rechtzeitig zur Verfügung stellt,</w:t>
      </w:r>
    </w:p>
    <w:p>
      <w:pPr>
        <w:ind w:left="420"/>
      </w:pPr>
      <w:r>
        <w:t xml:space="preserve">6. entgegen Artikel 5 Absatz 2 Satz 1 in Verbindung mit Artikel 5 Absatz 3 oder Absatz 5 einen Hauptparameter oder die Gewichtung der Hauptparameter nicht richtig darstellt,</w:t>
      </w:r>
    </w:p>
    <w:p>
      <w:pPr>
        <w:ind w:left="420"/>
      </w:pPr>
      <w:r>
        <w:t xml:space="preserve">7. entgegen Artikel 5 Absatz 2 Satz 2 in Verbindung mit Artikel 5 Absatz 3 oder Absatz 5 nicht dafür sorgt, dass eine Beschreibung aktuell ist,</w:t>
      </w:r>
    </w:p>
    <w:p>
      <w:pPr>
        <w:ind w:left="420"/>
      </w:pPr>
      <w:r>
        <w:t xml:space="preserve">8. entgegen Artikel 7 Absatz 2 in Verbindung mit Artikel 7 Absatz 3 eine dort genannte Erläuterung nicht, nicht richtig oder nicht vollständig vornimmt,</w:t>
      </w:r>
    </w:p>
    <w:p>
      <w:pPr>
        <w:ind w:left="420"/>
      </w:pPr>
      <w:r>
        <w:t xml:space="preserve">9. entgegen Artikel 11 Absatz 1 Unterabsatz 1 in Verbindung mit Unterabsatz 2 ein internes System nicht, nicht richtig, nicht vollständig oder nicht spätestens mit dem Anbieten des Online-Vermittlungsdienstes einrichtet,</w:t>
      </w:r>
    </w:p>
    <w:p>
      <w:pPr>
        <w:ind w:left="420"/>
      </w:pPr>
      <w:r>
        <w:t xml:space="preserve">10. entgegen Artikel 11 Absatz 2 Buchstabe a eine Prüfung nicht oder nicht unverzüglich nach Kenntnisnahme durchführt,</w:t>
      </w:r>
    </w:p>
    <w:p>
      <w:pPr>
        <w:ind w:left="420"/>
      </w:pPr>
      <w:r>
        <w:t xml:space="preserve">11. entgegen Artikel 11 Absatz 2 Buchstabe b eine Bearbeitung nicht oder nicht unverzüglich nach der Feststellung, dass eine Bearbeitung erforderlich ist, durchführt,</w:t>
      </w:r>
    </w:p>
    <w:p>
      <w:pPr>
        <w:ind w:left="420"/>
      </w:pPr>
      <w:r>
        <w:t xml:space="preserve">12. entgegen Artikel 11 Absatz 2 Buchstabe c eine Unterrichtung nicht oder nicht unverzüglich nach Beendigung der Bearbeitung durchführt,</w:t>
      </w:r>
    </w:p>
    <w:p>
      <w:pPr>
        <w:ind w:left="420"/>
      </w:pPr>
      <w:r>
        <w:t xml:space="preserve">13. entgegen Artikel 11 Absatz 4 Unterabsatz 1 Satz 1 eine Information nicht oder nicht spätestens mit der Einrichtung des Beschwerdesystems verfügbar macht,</w:t>
      </w:r>
    </w:p>
    <w:p>
      <w:pPr>
        <w:ind w:left="420"/>
      </w:pPr>
      <w:r>
        <w:t xml:space="preserve">14. entgegen Artikel 11 Absatz 4 Unterabsatz 1 Satz 2 eine Information nicht oder nicht rechtzeitig überprüft oder nicht oder nicht rechtzeitig aktualisiert oder</w:t>
      </w:r>
    </w:p>
    <w:p>
      <w:pPr>
        <w:ind w:left="420"/>
      </w:pPr>
      <w:r>
        <w:t xml:space="preserve">15. entgegen Artikel 12 Absatz 6 eine Information nicht, nicht richtig, nicht vollständig oder nicht rechtzeitig bereitstellt.</w:t>
      </w:r>
    </w:p>
    <w:p>
      <w:r>
        <w:t xml:space="preserve">(4) Ordnungswidrig handelt, wer entgegen Artikel 16 Absatz 6 Satz 1 der Verordnung (EU) 2022/2065 in der Fassung vom 19. Oktober 2022 eine Entscheidung nicht frei von Willkür oder nicht objektiv trifft und eine solche Handlung wiederholt.</w:t>
      </w:r>
    </w:p>
    <w:p>
      <w:r>
        <w:t xml:space="preserve">(5) Ordnungswidrig handelt, wer gegen die Verordnung (EU) 2022/2065 in der Fassung vom 19. Oktober 2022 verstößt, indem er vorsätzlich oder fahrlässig</w:t>
      </w:r>
    </w:p>
    <w:p>
      <w:pPr>
        <w:ind w:left="420"/>
      </w:pPr>
      <w:r>
        <w:t xml:space="preserve">1. entgegen Artikel 9 Absatz 1 oder Absatz 5 Satz 1, Artikel 10 Absatz 1, Artikel 14 Absatz 2 oder Artikel 32 Absatz 1 eine Information nicht, nicht richtig, nicht vollständig oder nicht rechtzeitig gibt,</w:t>
      </w:r>
    </w:p>
    <w:p>
      <w:pPr>
        <w:ind w:left="420"/>
      </w:pPr>
      <w:r>
        <w:t xml:space="preserve">2. entgegen Artikel 11 Absatz 1, Artikel 12 Absatz 1 oder Artikel 13 Absatz 1 in Verbindung mit Artikel 13 Absatz 2 eine Kontaktstelle oder eine Person nicht, nicht richtig oder nicht spätestens mit Anbieten des Vermittlungsdienstes benennt,</w:t>
      </w:r>
    </w:p>
    <w:p>
      <w:pPr>
        <w:ind w:left="420"/>
      </w:pPr>
      <w:r>
        <w:t xml:space="preserve">3. entgegen Artikel 11 Absatz 2 Satz 1 in Verbindung mit Artikel 11 Absatz 3 oder Artikel 12 Absatz 2 Satz 1 eine Information nicht oder nicht spätestens mit Anbieten des Vermittlungsdienstes veröffentlicht,</w:t>
      </w:r>
    </w:p>
    <w:p>
      <w:pPr>
        <w:ind w:left="420"/>
      </w:pPr>
      <w:r>
        <w:t xml:space="preserve">4. entgegen Artikel 13 Absatz 4 Satz 1 eine Meldung nicht, nicht richtig, nicht vollständig oder nicht spätestens mit Anbieten des Vermittlungsdienstes macht,</w:t>
      </w:r>
    </w:p>
    <w:p>
      <w:pPr>
        <w:ind w:left="420"/>
      </w:pPr>
      <w:r>
        <w:t xml:space="preserve">5. entgegen Artikel 13 Absatz 4 Satz 2 nicht dafür sorgt, dass eine dort genannte Angabe aktuell ist,</w:t>
      </w:r>
    </w:p>
    <w:p>
      <w:pPr>
        <w:ind w:left="420"/>
      </w:pPr>
      <w:r>
        <w:t xml:space="preserve">6. entgegen Artikel 14 Absatz 3 eine Erläuterung nicht, nicht richtig oder nicht vollständig vornimmt,</w:t>
      </w:r>
    </w:p>
    <w:p>
      <w:pPr>
        <w:ind w:left="420"/>
      </w:pPr>
      <w:r>
        <w:t xml:space="preserve">7. entgegen Artikel 15 Absatz 1 Satz 1 in Verbindung mit Satz 2, jeweils auch in Verbindung mit Artikel 24 Absatz 1, einen Bericht nicht, nicht richtig, nicht vollständig, nicht in der vorgeschriebenen Weise oder nicht rechtzeitig zur Verfügung stellt,</w:t>
      </w:r>
    </w:p>
    <w:p>
      <w:pPr>
        <w:ind w:left="420"/>
      </w:pPr>
      <w:r>
        <w:t xml:space="preserve">8. entgegen Artikel 16 Absatz 1 Satz 1 in Verbindung mit Satz 2 oder Artikel 16 Absatz 2 ein Meldeverfahren nicht, nicht richtig, nicht vollständig, nicht in der vorgeschriebenen Weise oder nicht spätestens mit Anbieten des Hostingdienstes einrichtet,</w:t>
      </w:r>
    </w:p>
    <w:p>
      <w:pPr>
        <w:ind w:left="420"/>
      </w:pPr>
      <w:r>
        <w:t xml:space="preserve">9. entgegen Artikel 16 Absatz 5, auch in Verbindung mit Artikel 16 Absatz 6 Satz 2, eine Mitteilung nicht, nicht richtig, nicht vollständig oder nicht rechtzeitig macht oder einen Hinweis nicht, nicht richtig, nicht vollständig oder nicht rechtzeitig gibt,</w:t>
      </w:r>
    </w:p>
    <w:p>
      <w:pPr>
        <w:ind w:left="420"/>
      </w:pPr>
      <w:r>
        <w:t xml:space="preserve">10. entgegen Artikel 17 Absatz 1 in Verbindung mit Artikel 17 Absatz 2 Unterabsatz 1 Satz 2, Absatz 3 oder Absatz 4 eine Begründung nicht, nicht richtig, nicht vollständig oder nicht rechtzeitig vorlegt,</w:t>
      </w:r>
    </w:p>
    <w:p>
      <w:pPr>
        <w:ind w:left="420"/>
      </w:pPr>
      <w:r>
        <w:t xml:space="preserve">11. entgegen Artikel 20 Absatz 1 in Verbindung mit Artikel 20 Absatz 2 oder Absatz 3 einen Zugang zu einem Beschwerdemanagementsystem nicht, nicht richtig, nicht vollständig, nicht in der vorgeschriebenen Weise oder nicht für die vorgeschriebene Dauer gewährt,</w:t>
      </w:r>
    </w:p>
    <w:p>
      <w:pPr>
        <w:ind w:left="420"/>
      </w:pPr>
      <w:r>
        <w:t xml:space="preserve">12. entgegen Artikel 20 Absatz 4 Satz 2 eine Entscheidung nicht oder nicht rechtzeitig rückgängig macht,</w:t>
      </w:r>
    </w:p>
    <w:p>
      <w:pPr>
        <w:ind w:left="420"/>
      </w:pPr>
      <w:r>
        <w:t xml:space="preserve">13. entgegen Artikel 20 Absatz 5 eine Mitteilung nicht, nicht richtig, nicht vollständig oder nicht rechtzeitig macht,</w:t>
      </w:r>
    </w:p>
    <w:p>
      <w:pPr>
        <w:ind w:left="420"/>
      </w:pPr>
      <w:r>
        <w:t xml:space="preserve">14. entgegen Artikel 20 Absatz 6 nicht sicherstellt, dass eine Entscheidung in dort genannter Weise getroffen wird,</w:t>
      </w:r>
    </w:p>
    <w:p>
      <w:pPr>
        <w:ind w:left="420"/>
      </w:pPr>
      <w:r>
        <w:t xml:space="preserve">15. entgegen Artikel 21 Absatz 1 Unterabsatz 2 nicht sicherstellt, dass eine dort genannte Information zugänglich ist,</w:t>
      </w:r>
    </w:p>
    <w:p>
      <w:pPr>
        <w:ind w:left="420"/>
      </w:pPr>
      <w:r>
        <w:t xml:space="preserve">16. entgegen Artikel 22 Absatz 1 eine Maßnahme nicht oder nicht spätestens mit Anbieten der Online-Plattform ergreift,</w:t>
      </w:r>
    </w:p>
    <w:p>
      <w:pPr>
        <w:ind w:left="420"/>
      </w:pPr>
      <w:r>
        <w:t xml:space="preserve">17. entgegen Artikel 24 Absatz 3 Satz 1 oder Absatz 5 Satz 1 eine Information nicht, nicht richtig, nicht vollständig oder nicht rechtzeitig übermittelt,</w:t>
      </w:r>
    </w:p>
    <w:p>
      <w:pPr>
        <w:ind w:left="420"/>
      </w:pPr>
      <w:r>
        <w:t xml:space="preserve">18. entgegen Artikel 24 Absatz 5 Satz 2 nicht sicherstellt, dass eine dort genannte Information personenbezogene Daten nicht enthält,</w:t>
      </w:r>
    </w:p>
    <w:p>
      <w:pPr>
        <w:ind w:left="420"/>
      </w:pPr>
      <w:r>
        <w:t xml:space="preserve">19. entgegen Artikel 25 Absatz 1 eine Online-Schnittstelle konzipiert, organisiert oder betreibt,</w:t>
      </w:r>
    </w:p>
    <w:p>
      <w:pPr>
        <w:ind w:left="420"/>
      </w:pPr>
      <w:r>
        <w:t xml:space="preserve">20. entgegen Artikel 26 Absatz 1 nicht sicherstellt, dass ein Nutzer in der Lage ist, eine dort genannte Angabe zu erkennen,</w:t>
      </w:r>
    </w:p>
    <w:p>
      <w:pPr>
        <w:ind w:left="420"/>
      </w:pPr>
      <w:r>
        <w:t xml:space="preserve">21. entgegen Artikel 26 Absatz 2 Unterabsatz 1 eine Funktion nicht oder nicht richtig bietet,</w:t>
      </w:r>
    </w:p>
    <w:p>
      <w:pPr>
        <w:ind w:left="420"/>
      </w:pPr>
      <w:r>
        <w:t xml:space="preserve">22. entgegen Artikel 26 Absatz 2 Unterabsatz 2 nicht sicherstellt, dass ein Nutzer einen dort genannten Sachverhalt feststellen kann,</w:t>
      </w:r>
    </w:p>
    <w:p>
      <w:pPr>
        <w:ind w:left="420"/>
      </w:pPr>
      <w:r>
        <w:t xml:space="preserve">23. entgegen Artikel 26 Absatz 3 Werbung anzeigt,</w:t>
      </w:r>
    </w:p>
    <w:p>
      <w:pPr>
        <w:ind w:left="420"/>
      </w:pPr>
      <w:r>
        <w:t xml:space="preserve">24. entgegen Artikel 27 Absatz 1 in Verbindung mit Artikel 27 Absatz 2 einen Parameter nicht, nicht richtig, nicht vollständig oder nicht in der vorgeschriebenen Weise darlegt,</w:t>
      </w:r>
    </w:p>
    <w:p>
      <w:pPr>
        <w:ind w:left="420"/>
      </w:pPr>
      <w:r>
        <w:t xml:space="preserve">25. entgegen Artikel 27 Absatz 3 Satz 1 in Verbindung mit Satz 2 eine Funktion nicht, nicht richtig oder nicht in der vorgeschriebenen Weise zugänglich macht,</w:t>
      </w:r>
    </w:p>
    <w:p>
      <w:pPr>
        <w:ind w:left="420"/>
      </w:pPr>
      <w:r>
        <w:t xml:space="preserve">26. entgegen Artikel 28 Absatz 2 Werbung darstellt,</w:t>
      </w:r>
    </w:p>
    <w:p>
      <w:pPr>
        <w:ind w:left="420"/>
      </w:pPr>
      <w:r>
        <w:t xml:space="preserve">27. entgegen Artikel 30 Absatz 1 nicht sicherstellt, dass ein Unternehmer eine Online-Plattform nur unter einer dort genannten Voraussetzung nutzen kann,</w:t>
      </w:r>
    </w:p>
    <w:p>
      <w:pPr>
        <w:ind w:left="420"/>
      </w:pPr>
      <w:r>
        <w:t xml:space="preserve">28. entgegen Artikel 30 Absatz 3 Unterabsatz 1 eine Aufforderung nicht, nicht richtig oder nicht rechtzeitig vornimmt,</w:t>
      </w:r>
    </w:p>
    <w:p>
      <w:pPr>
        <w:ind w:left="420"/>
      </w:pPr>
      <w:r>
        <w:t xml:space="preserve">29. entgegen Artikel 30 Absatz 5 Satz 1 eine Information nicht oder nicht mindestens sechs Monate speichert,</w:t>
      </w:r>
    </w:p>
    <w:p>
      <w:pPr>
        <w:ind w:left="420"/>
      </w:pPr>
      <w:r>
        <w:t xml:space="preserve">30. entgegen Artikel 30 Absatz 6 eine Information weitergibt,</w:t>
      </w:r>
    </w:p>
    <w:p>
      <w:pPr>
        <w:ind w:left="420"/>
      </w:pPr>
      <w:r>
        <w:t xml:space="preserve">31. entgegen Artikel 30 Absatz 7 eine Information nicht, nicht richtig, nicht vollständig, nicht in der vorgeschriebenen Weise oder nicht spätestens mit Anbieten der Online-Plattform zur Verfügung stellt,</w:t>
      </w:r>
    </w:p>
    <w:p>
      <w:pPr>
        <w:ind w:left="420"/>
      </w:pPr>
      <w:r>
        <w:t xml:space="preserve">32. entgegen Artikel 31 Absatz 1 Unterabsatz 1 oder Absatz 2 nicht sicherstellt, dass eine Online-Schnittstelle in dort genannter Weise konzipiert oder organisiert ist, oder</w:t>
      </w:r>
    </w:p>
    <w:p>
      <w:pPr>
        <w:ind w:left="420"/>
      </w:pPr>
      <w:r>
        <w:t xml:space="preserve">33. entgegen Artikel 32 Absatz 2 eine Information nicht, nicht richtig, nicht vollständig, nicht in der vorgeschriebenen Weise oder nicht unverzüglich nach Kenntnisnahme zugänglich macht.</w:t>
      </w:r>
    </w:p>
    <w:p>
      <w:r>
        <w:t xml:space="preserve">(5a) Ordnungswidrig handelt, wer gegen die Verordnung (EU) 2023/988 in der Fassung vom 10. Mai 2023 verstößt, indem er vorsätzlich oder fahrlässig</w:t>
      </w:r>
    </w:p>
    <w:p>
      <w:pPr>
        <w:ind w:left="420"/>
      </w:pPr>
      <w:r>
        <w:t xml:space="preserve">1. entgegen Artikel 22 Absatz 7 nicht mindestens das Safety-Gate-Portal verwendet,</w:t>
      </w:r>
    </w:p>
    <w:p>
      <w:pPr>
        <w:ind w:left="420"/>
      </w:pPr>
      <w:r>
        <w:t xml:space="preserve">2. entgegen Artikel 22 Absatz 8 eine Meldung nicht oder nicht rechtzeitig bearbeitet oder</w:t>
      </w:r>
    </w:p>
    <w:p>
      <w:pPr>
        <w:ind w:left="420"/>
      </w:pPr>
      <w:r>
        <w:t xml:space="preserve">3. entgegen Artikel 22 Absatz 9 eine Online-Schnittstelle nicht richtig gestaltet oder nicht richtig strukturiert.</w:t>
      </w:r>
    </w:p>
    <w:p>
      <w:r>
        <w:t xml:space="preserve">(5b) Ordnungswidrig handelt, wer gegen die Verordnung (EU) 2024/1028 in der Fassung vom 11. April 2024 verstößt, indem er vorsätzlich oder fahrlässig</w:t>
      </w:r>
    </w:p>
    <w:p>
      <w:pPr>
        <w:ind w:left="420"/>
      </w:pPr>
      <w:r>
        <w:t xml:space="preserve">1. entgegen Artikel 7 Absatz 1 Buchstabe a oder b eine Online-Schnittstelle nicht richtig gestaltet oder nicht richtig organisiert,</w:t>
      </w:r>
    </w:p>
    <w:p>
      <w:pPr>
        <w:ind w:left="420"/>
      </w:pPr>
      <w:r>
        <w:t xml:space="preserve">2. entgegen Artikel 7 Absatz 2 eine Unterrichtung nicht, nicht richtig, nicht vollständig oder nicht rechtzeitig vornimmt oder</w:t>
      </w:r>
    </w:p>
    <w:p>
      <w:pPr>
        <w:ind w:left="420"/>
      </w:pPr>
      <w:r>
        <w:t xml:space="preserve">3. entgegen Artikel 9 Absatz 1 Satz 1 in Verbindung mit Satz 2 oder Absatz 2 Daten nicht, nicht richtig, nicht vollständig, nicht in der vorgeschriebenen Weise oder nicht rechtzeitig übermittelt.</w:t>
      </w:r>
    </w:p>
    <w:p>
      <w:r>
        <w:t xml:space="preserve">(6) Die Ordnungswidrigkeit kann geahndet werden</w:t>
      </w:r>
    </w:p>
    <w:p>
      <w:pPr>
        <w:ind w:left="420"/>
      </w:pPr>
      <w:r>
        <w:t xml:space="preserve">1. in den Fällen des</w:t>
      </w:r>
    </w:p>
    <w:p>
      <w:pPr>
        <w:ind w:left="780"/>
      </w:pPr>
      <w:r>
        <w:t xml:space="preserve">a) Absatzes 1 und 2 Nummer 2a, des Absatzes 2a und 3 Nummer 1, 3, 4, 9, 10 und 11, des Absatzes 5a Nummer 1 und 3 sowie des Absatzes 5b Nummer 1 und</w:t>
      </w:r>
    </w:p>
    <w:p>
      <w:pPr>
        <w:ind w:left="780"/>
      </w:pPr>
      <w:r>
        <w:t xml:space="preserve">b) Absatzes 4 und 5 Nummer 8, 10 bis 12, 14, 16, 18, 20 bis 30 und 32</w:t>
      </w:r>
    </w:p>
    <w:p>
      <w:pPr>
        <w:ind w:left="420"/>
      </w:pPr>
      <w:r>
        <w:t xml:space="preserve">mit einer Geldbuße bis zu dreihunderttausend Euro,</w:t>
      </w:r>
    </w:p>
    <w:p>
      <w:pPr>
        <w:ind w:left="420"/>
      </w:pPr>
      <w:r>
        <w:t xml:space="preserve">2. in den Fällen des</w:t>
      </w:r>
    </w:p>
    <w:p>
      <w:pPr>
        <w:ind w:left="780"/>
      </w:pPr>
      <w:r>
        <w:t xml:space="preserve">a) Absatzes 3 Nummer 2, 5 bis 8, 12 bis 14 und 15, des Absatzes 5a Nummer 2 und des Absatzes 5b Nummer 2 und 3 und</w:t>
      </w:r>
    </w:p>
    <w:p>
      <w:pPr>
        <w:ind w:left="780"/>
      </w:pPr>
      <w:r>
        <w:t xml:space="preserve">b) Absatzes 5 Nummer 1 bis 7, 9, 13, 15, 17, 19, 31 und 33</w:t>
      </w:r>
    </w:p>
    <w:p>
      <w:pPr>
        <w:ind w:left="420"/>
      </w:pPr>
      <w:r>
        <w:t xml:space="preserve">mit einer Geldbuße bis zu hunderttausend Euro und</w:t>
      </w:r>
    </w:p>
    <w:p>
      <w:pPr>
        <w:ind w:left="420"/>
      </w:pPr>
      <w:r>
        <w:t xml:space="preserve">3. in den übrigen Fällen des Absatzes 2 mit einer Geldbuße bis zu fünfzigtausend Euro.</w:t>
      </w:r>
    </w:p>
    <w:p>
      <w:r>
        <w:t xml:space="preserve">(7) Gegenüber einer juristischen Person oder Personenvereinigung mit einem Gesamtumsatz von mehr als 5 Millionen Euro kann abweichend von Absatz 6 Nummer 1 Buchstabe b in Verbindung mit § 30 Absatz 2 Satz 2 des Gesetzes über Ordnungswidrigkeiten eine Ordnungswidrigkeit in den Fällen der Absätze 4 und 5 Nummer 8, 10 bis 12, 14, 16, 18, 20 bis 30 und 32 mit einer Geldbuße bis zu 6 Prozent des Gesamtumsatzes geahndet werden.</w:t>
      </w:r>
    </w:p>
    <w:p>
      <w:r>
        <w:t xml:space="preserve">(8) Gegenüber einer juristischen Person oder Personenvereinigung mit einem Gesamtumsatz von mehr als 10 Millionen Euro kann abweichend von Absatz 6 Nummer 2 Buchstabe b in Verbindung mit § 30 Absatz 2 Satz 2 des Gesetzes über Ordnungswidrigkeiten eine Ordnungswidrigkeit in den Fällen des Absatzes 5 Nummer 1 bis 7, 9, 13, 15, 17, 19, 31 und 33 mit einer Geldbuße bis zu 1 Prozent des Gesamtumsatzes geahndet werden.</w:t>
      </w:r>
    </w:p>
    <w:p>
      <w:r>
        <w:t xml:space="preserve">(9) Gesamtumsatz im Sinne der Absätze 7 und 8 ist die Summe aller Umsatzerlöse, die die juristische Person oder Personenvereinigung in dem der Behördenentscheidung vorausgegangenen Geschäftsjahr weltweit erzielt hat. Der Gesamtumsatz kann geschätzt werden.</w:t>
      </w:r>
    </w:p>
    <w:p>
      <w:r>
        <w:t xml:space="preserve">(10) Verwaltungsbehörde im Sinne des § 36 Absatz 1 Nummer 1 des Gesetzes über Ordnungswidrigkeiten ist in den Fällen</w:t>
      </w:r>
    </w:p>
    <w:p>
      <w:pPr>
        <w:ind w:left="420"/>
      </w:pPr>
      <w:r>
        <w:t xml:space="preserve">1. des Absatzes 2 Nummer 3 Buchstabe a und Nummer 4 Buchstabe a, der Absätze 4, 5 Nummer 1 bis 5, 7 bis 22, 24, 25 und 27 bis 33, der Absätze 5a und 5b Nummer 1 die Koordinierungsstelle für digitale Dienste,</w:t>
      </w:r>
    </w:p>
    <w:p>
      <w:pPr>
        <w:ind w:left="420"/>
      </w:pPr>
      <w:r>
        <w:t xml:space="preserve">2. des Absatzes 2 Nummer 2a, 3 Buchstabe b und Nummer 4 Buchstabe b sowie der Absätze 2a, 3 und 5b Nummer 2 und 3 die Bundesnetzagentur,</w:t>
      </w:r>
    </w:p>
    <w:p>
      <w:pPr>
        <w:ind w:left="420"/>
      </w:pPr>
      <w:r>
        <w:t xml:space="preserve">3. des Absatzes 5 Nummer 6 die Bundeszentrale für Kinder- und Jugendmedienschutz, soweit sie nach § 12 Absatz 2 Satz 1 für die Durchsetzung des Artikels 14 Absatz 3 der Verordnung (EU) 2022/2065 zuständig ist,</w:t>
      </w:r>
    </w:p>
    <w:p>
      <w:pPr>
        <w:ind w:left="420"/>
      </w:pPr>
      <w:r>
        <w:t xml:space="preserve">4. des Absatzes 5 Nummer 23 und 26 der Bundesbeauftragte für den Datenschutz und die Informationsfreiheit.</w:t>
      </w:r>
    </w:p>
    <w:p>
      <w:r>
        <w:rPr>
          <w:color w:val="555555"/>
          <w:sz w:val="17"/>
        </w:rPr>
        <w:t xml:space="preserve">Zitiervorschlag: § 33 DDG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https://recht.nulegal.eu/gesetze/DDG/33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