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DDG — Verwaltungsverfahren</w:t>
      </w:r>
    </w:p>
    <w:p>
      <w:r>
        <w:rPr>
          <w:color w:val="555555"/>
          <w:sz w:val="18"/>
        </w:rPr>
        <w:t xml:space="preserve">Digitale-Dienste-Gesetz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Entscheidungen der Koordinierungsstelle für digitale Dienste und Entscheidungen der nach § 12 Absatz 2 Satz 1 und Absatz 3 zuständigen Behörden sind zu begründen. Sie sind mit der Begründung und einer Belehrung über den zulässigen Rechtsbehelf den Beteiligten bekannt zu geben.</w:t>
      </w:r>
    </w:p>
    <w:p>
      <w:r>
        <w:t xml:space="preserve">(2) Entscheidungen der Koordinierungsstelle für digitale Dienste und Entscheidungen der nach § 12 Absatz 2 Satz 1 und Absatz 3 zuständigen Behörden in Form von Allgemeinverfügungen sind öffentlich bekannt zu geben. Die öffentliche Bekanntgabe wird dadurch bewirkt, dass</w:t>
      </w:r>
    </w:p>
    <w:p>
      <w:pPr>
        <w:ind w:left="420"/>
      </w:pPr>
      <w:r>
        <w:t xml:space="preserve">1. die vollständige Entscheidung auf der Internetseite der Koordinierungsstelle für digitale Dienste oder der jeweils anderen nach § 12 Absatz 2 Satz 1 und Absatz 3 zuständigen Behörde veröffentlicht wird und</w:t>
      </w:r>
    </w:p>
    <w:p>
      <w:pPr>
        <w:ind w:left="420"/>
      </w:pPr>
      <w:r>
        <w:t xml:space="preserve">2. Folgendes im elektronischen Bundesanzeiger bekannt gemacht wird:</w:t>
      </w:r>
    </w:p>
    <w:p>
      <w:pPr>
        <w:ind w:left="780"/>
      </w:pPr>
      <w:r>
        <w:t xml:space="preserve">a) der verfügende Teil der Allgemeinverfügung,</w:t>
      </w:r>
    </w:p>
    <w:p>
      <w:pPr>
        <w:ind w:left="780"/>
      </w:pPr>
      <w:r>
        <w:t xml:space="preserve">b) die Rechtsbehelfsbelehrung und</w:t>
      </w:r>
    </w:p>
    <w:p>
      <w:pPr>
        <w:ind w:left="780"/>
      </w:pPr>
      <w:r>
        <w:t xml:space="preserve">c) ein Hinweis auf die Veröffentlichung der vollständigen Entscheidung auf der jeweiligen Internetseite.</w:t>
      </w:r>
    </w:p>
    <w:p>
      <w:r>
        <w:t xml:space="preserve">(3) Die Absätze 1 und 2 gelten entsprechend für die Bundesnetzagentur, sofern diese nach § 22, § 22b Absatz 1 oder § 22c Absatz 1 zuständig ist.</w:t>
      </w:r>
    </w:p>
    <w:p>
      <w:r>
        <w:rPr>
          <w:color w:val="555555"/>
          <w:sz w:val="17"/>
        </w:rPr>
        <w:t xml:space="preserve">Zitiervorschlag: § 32 DDG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https://recht.nulegal.eu/gesetze/DDG/32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