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DDG — Maßnahmen nach Artikel 51 Absatz 3 der Verordnung (EU) 2022/2065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Zuständige Justizbehörde nach Artikel 51 Absatz 3 Unterabsatz 1 Buchstabe b der Verordnung (EU) 2022/2065 ist das Amtsgericht, in dessen Bezirk die Koordinierungsstelle für digitale Dienste ihren Sitz hat. Sofern in diesem Gesetz oder in der Verordnung (EU) 2022/2065 nicht etwas Abweichendes bestimmt ist, sind die allgemeinen Vorschriften des Gesetzes über das Verfahren in Familiensachen und in den Angelegenheiten der freiwilligen Gerichtsbarkeit anzuwenden.</w:t>
      </w:r>
    </w:p>
    <w:p>
      <w:r>
        <w:t xml:space="preserve">(2) Die §§ 49 bis 57 des Gesetzes über das Verfahren in Familiensachen und in den Angelegenheiten der freiwilligen Gerichtsbarkeit sind nicht anzuwenden.</w:t>
      </w:r>
    </w:p>
    <w:p>
      <w:r>
        <w:t xml:space="preserve">(3) Maßnahmen nach Artikel 51 Absatz 3 Unterabsatz 1 Buchstabe b der Verordnung (EU) 2022/2065 darf das Gericht nur auf Antrag der Koordinierungsstelle für digitale Dienste oder der nach § 12 Absatz 2 Satz 1 und Absatz 3 dieses Gesetzes zuständigen Behörden anordnen. Der Antrag ist zu begründen. Die Begründung hat folgende Angaben zu enthalten:</w:t>
      </w:r>
    </w:p>
    <w:p>
      <w:pPr>
        <w:ind w:left="420"/>
      </w:pPr>
      <w:r>
        <w:t xml:space="preserve">1. Angaben über das Vorliegen der Voraussetzungen einer Anordnung nach Artikel 51 Absatz 3 Unterabsatz 1 Buchstabe b der Verordnung (EU) 2022/2065,</w:t>
      </w:r>
    </w:p>
    <w:p>
      <w:pPr>
        <w:ind w:left="420"/>
      </w:pPr>
      <w:r>
        <w:t xml:space="preserve">2. Angaben über die begehrte Einschränkung, insbesondere, ob eine Einschränkung des Zugangs oder die Einschränkung der Online-Schnittstelle begehrt wird,</w:t>
      </w:r>
    </w:p>
    <w:p>
      <w:pPr>
        <w:ind w:left="420"/>
      </w:pPr>
      <w:r>
        <w:t xml:space="preserve">3. die Angabe, ob der Antrag auf Verlangen der Europäischen Kommission gestellt wird,</w:t>
      </w:r>
    </w:p>
    <w:p>
      <w:pPr>
        <w:ind w:left="420"/>
      </w:pPr>
      <w:r>
        <w:t xml:space="preserve">4. gegebenenfalls die Angabe, weshalb begehrt wird, den Geltungszeitraum von vier Wochen durch die antragstellende Behörde für eine Höchstzahl von weiteren Zeiträumen nach Artikel 51 Absatz 3 Unterabsatz 3 der Verordnung (EU) 2022/2065 verlängern zu dürfen.</w:t>
      </w:r>
    </w:p>
    <w:p>
      <w:r>
        <w:t xml:space="preserve">Die Angaben nach Satz 3 Nummer 1 sind glaubhaft zu machen.</w:t>
      </w:r>
    </w:p>
    <w:p>
      <w:r>
        <w:rPr>
          <w:color w:val="555555"/>
          <w:sz w:val="17"/>
        </w:rPr>
        <w:t xml:space="preserve">Zitiervorschlag: § 29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