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DDG — Verbindungsstelle nach Artikel 19 Absatz 2 der Richtlinie 2000/31/EG</w:t>
      </w:r>
    </w:p>
    <w:p>
      <w:r>
        <w:rPr>
          <w:color w:val="555555"/>
          <w:sz w:val="18"/>
        </w:rPr>
        <w:t xml:space="preserve">Digitale-Dienste-Gesetz</w:t>
      </w:r>
    </w:p>
    <w:p>
      <w:r>
        <w:rPr>
          <w:color w:val="555555"/>
          <w:sz w:val="18"/>
        </w:rPr>
        <w:t xml:space="preserve">Stand: 14.05.2024 (konsolidierte Textfassung, kein amtliches Inkrafttretensdatum)</w:t>
      </w:r>
    </w:p>
    <w:p>
      <w:r>
        <w:t xml:space="preserve">Die Bundesnetzagentur ist zuständige Verbindungsstelle nach Artikel 19 Absatz 2 der Richtlinie über den elektronischen Geschäftsverkehr.</w:t>
      </w:r>
    </w:p>
    <w:p>
      <w:r>
        <w:rPr>
          <w:color w:val="555555"/>
          <w:sz w:val="17"/>
        </w:rPr>
        <w:t xml:space="preserve">Zitiervorschlag: § 23 DDG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https://recht.nulegal.eu/gesetze/DDG/23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