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DBiblBDODAnO</w:t>
      </w:r>
    </w:p>
    <w:p>
      <w:r>
        <w:rPr>
          <w:color w:val="555555"/>
          <w:sz w:val="18"/>
        </w:rPr>
        <w:t xml:space="preserve">Anordnung zur Durchführung der Bundesdisziplinarordnung für die Deutsche 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Satz 1 Nr. 3 der Bundesdisziplinarordnung in der Fassung der Bekanntmachung vom 20. Juli 1967 (Bundesgesetzbl. I S. 750, 984), zuletzt geändert durch das Fünfte Gesetz zur Änderung beamtenrechtlicher und besoldungsrechtlicher Vorschriften vom 19. Juli 1968 (Bundesgesetzblatt I S. 848), ordne ich an:</w:t>
      </w:r>
    </w:p>
    <w:p>
      <w:r>
        <w:rPr>
          <w:color w:val="555555"/>
          <w:sz w:val="17"/>
        </w:rPr>
        <w:t xml:space="preserve">Zitiervorschlag: Eingangsformel DBiblBDODAnO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https://recht.nulegal.eu/gesetze/DBiblBDODAnO/eingangsformel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