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DBeglG — Stellenobergrenzen</w:t>
      </w:r>
    </w:p>
    <w:p>
      <w:r>
        <w:rPr>
          <w:color w:val="555555"/>
          <w:sz w:val="18"/>
        </w:rPr>
        <w:t xml:space="preserve">Dienstrechtliches Begleitgesetz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4 Abs. 1 bleibt die Planstelle des Besoldungsempfängers bei der Anwendung der Stellenobergrenzenregelungen bei der aufnehmenden Behörde oder Einrichtung unberücksichtigt.</w:t>
      </w:r>
    </w:p>
    <w:p>
      <w:r>
        <w:rPr>
          <w:color w:val="555555"/>
          <w:sz w:val="17"/>
        </w:rPr>
        <w:t xml:space="preserve">Zitiervorschlag: § 5 DBeglG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https://recht.nulegal.eu/gesetze/DBeglG/5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