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DBeglG — Anwendungsbereich</w:t>
      </w:r>
    </w:p>
    <w:p>
      <w:r>
        <w:rPr>
          <w:color w:val="555555"/>
          <w:sz w:val="18"/>
        </w:rPr>
        <w:t xml:space="preserve">Dienstrechtliches Begleitgesetz</w:t>
      </w:r>
    </w:p>
    <w:p>
      <w:r>
        <w:rPr>
          <w:color w:val="555555"/>
          <w:sz w:val="18"/>
        </w:rPr>
        <w:t xml:space="preserve">Stand: 10.06.2019 (konsolidierte Textfassung, kein amtliches Inkrafttretensdatum)</w:t>
      </w:r>
    </w:p>
    <w:p>
      <w:r>
        <w:t xml:space="preserve">Dieses Gesetz trifft Regelungen im Zusammenhang mit dem Beschluß des Deutschen Bundestages vom 20. Juni 1991 zur Vollendung der Einheit Deutschlands. Es gilt für alle personellen Maßnahmen, die in bezug zu Verlegungen von Verfassungsorganen, obersten Bundesbehörden und sonstigen Einrichtungen des Bundes stehen, die</w:t>
      </w:r>
    </w:p>
    <w:p>
      <w:pPr>
        <w:ind w:left="420"/>
      </w:pPr>
      <w:r>
        <w:t xml:space="preserve">- im Zusammenhang mit der Verlegung des Parlaments- und Regierungssitzes von Bonn nach Berlin oder</w:t>
      </w:r>
    </w:p>
    <w:p>
      <w:pPr>
        <w:ind w:left="420"/>
      </w:pPr>
      <w:r>
        <w:t xml:space="preserve">- als Ausgleich für die Region Bonn oder</w:t>
      </w:r>
    </w:p>
    <w:p>
      <w:pPr>
        <w:ind w:left="420"/>
      </w:pPr>
      <w:r>
        <w:t xml:space="preserve">- entsprechend den Vorschlägen der Föderalismuskommission</w:t>
      </w:r>
    </w:p>
    <w:p>
      <w:r>
        <w:t xml:space="preserve">erfolgen.</w:t>
      </w:r>
    </w:p>
    <w:p>
      <w:r>
        <w:rPr>
          <w:color w:val="555555"/>
          <w:sz w:val="17"/>
        </w:rPr>
        <w:t xml:space="preserve">Zitiervorschlag: § 1 DBeglG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https://recht.nulegal.eu/gesetze/DBeglG/1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