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DBauV (Bayern)</w:t>
      </w:r>
    </w:p>
    <w:p>
      <w:r>
        <w:rPr>
          <w:color w:val="555555"/>
          <w:sz w:val="18"/>
        </w:rPr>
        <w:t xml:space="preserve">Digitale Bauantragsverordnung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</w:t>
      </w:r>
    </w:p>
    <w:p>
      <w:r>
        <w:rPr>
          <w:color w:val="555555"/>
          <w:sz w:val="17"/>
        </w:rPr>
        <w:t xml:space="preserve">Zitiervorschlag: Eingangsformel DBauV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https://recht.nulegal.eu/gesetze/DBauV/eingangsformel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