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DBauV (Bayern) — Anzeige der Beseitigung</w:t>
      </w:r>
    </w:p>
    <w:p>
      <w:r>
        <w:rPr>
          <w:color w:val="555555"/>
          <w:sz w:val="18"/>
        </w:rPr>
        <w:t xml:space="preserve">Digitale Bauantragsverordnung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57 Abs. 5 Satz 2 BayBO genügt die Anzeige bei der Bauaufsichtsbehörde. Die Bauaufsichtsbehörde leitet, soweit sie nicht Gemeinde ist, die Anzeige unter Mitteilung des Tages der Einreichung unverzüglich an die Gemeinde weiter.</w:t>
      </w:r>
    </w:p>
    <w:p>
      <w:r>
        <w:rPr>
          <w:color w:val="555555"/>
          <w:sz w:val="17"/>
        </w:rPr>
        <w:t xml:space="preserve">Zitiervorschlag: § 5 DBauV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https://recht.nulegal.eu/gesetze/DBauV/5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