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DBauV (Bayern) — Bauvorlagen</w:t>
      </w:r>
    </w:p>
    <w:p>
      <w:r>
        <w:rPr>
          <w:color w:val="555555"/>
          <w:sz w:val="18"/>
        </w:rPr>
        <w:t xml:space="preserve">Digitale Bauantragsverordnung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Anträge, Anzeigen oder Unterlagen digital eingereicht, sind Bauvorlagen und Anlagen unter Verwendung der entsprechenden Funktion der Online-Assistenten in elektronischer Form beizufügen, soweit sie nicht ihrerseits unter Verwendung eines entsprechenden Online-Assistenten digital eingereicht werden. Die Nachreichung von Bauvorlagen muss auf dem dafür von der Bauaufsichtsbehörde eröffneten elektronischen Weg oder in einem Online-Assistenten erfolgen. Die Bauaufsichtsbehörde kann ausnahmsweise Papierform zulassen.</w:t>
      </w:r>
    </w:p>
    <w:p>
      <w:r>
        <w:t xml:space="preserve">(2) Dateien müssen als Einzeldateien in einem Portable Document Format vorliegen. Dateianlagen innerhalb der Dateien sind unzulässig. Die Dateien dürfen keine Sicherheitseinstellungen und keinen Schreibschutz enthalten. Lageplan und Bauzeichnungen müssen neben der numerischen Angabe des Maßstabes auch eine grafische, mit den tatsächlichen Distanzen zu beschriftende Maßstabsleiste enthalten, sofern nicht vorhandene Maßketten eine Kalibrierung ermöglichen. § 1 Abs. 2 Satz 1 BauVorlV findet keine Anwendung.</w:t>
      </w:r>
    </w:p>
    <w:p>
      <w:r>
        <w:t xml:space="preserve">(3) § 1 Abs. 3 BauVorlV findet nur Anwendung, soweit die öffentlich bekanntgemachten Vordrucke nicht durch entsprechende Online-Assistenten ersetzt werden. § 2 BauVorlV findet keine Anwendung. Gemäß Abs. 1 Satz 3 in Papierform eingereichte Bauvorlagen sind einfach einzureichen.</w:t>
      </w:r>
    </w:p>
    <w:p>
      <w:r>
        <w:t xml:space="preserve">(4) Die Nachweise der Standsicherheit, des Brandschutzes und die Bestätigung nach Art. 78 Abs. 2 Satz 2 Nr. 3 BayBO werden als elektronisches Abbild des vom Ersteller unterschriebenen Originals abgegeben. Sind nach § 1 Abs. 3 BauVorlV in Verbindung mit Abs. 3 Satz 1 öffentlich bekannt gemachte Vordrucke zu verwenden, erfolgt die Abgabe als elektronisches Abbild des unterschriebenen Originals. Im Übrigen müssen Bauvorlagen die Person des Entwurfsverfassers erkennen lassen. In den Fällen des Satzes 1 und 2 kann die Bauaufsichtsbehörde die Vorlage des unterschriebenen Originals verlangen. Art. 3a Abs. 2 des Bayerischen Verwaltungsverfahrensgesetzes bleibt unberührt. § 7 Abs. 2 Satz 4 BauVorlV findet keine Anwendung.</w:t>
      </w:r>
    </w:p>
    <w:p>
      <w:r>
        <w:t xml:space="preserve">(5) Die Erklärungen nach § 15 Abs. 1 BauVorlV werden durch Erklärungen des sich authentifizierenden Bauherrn oder Vertreter des Bauherrn darüber ersetzt, dass der jeweils angegebene Nachweisersteller den bautechnischen Nachweis erstellt hat.</w:t>
      </w:r>
    </w:p>
    <w:p>
      <w:r>
        <w:rPr>
          <w:color w:val="555555"/>
          <w:sz w:val="17"/>
        </w:rPr>
        <w:t xml:space="preserve">Zitiervorschlag: § 11 DBauV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https://recht.nulegal.eu/gesetze/DBauV/11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