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DBauV (Bayern) — Vorbescheid</w:t>
      </w:r>
    </w:p>
    <w:p>
      <w:r>
        <w:rPr>
          <w:color w:val="555555"/>
          <w:sz w:val="18"/>
        </w:rPr>
        <w:t xml:space="preserve">Digitale Bauantragsverordnung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Art. 71 Satz 4 BayBO gilt für den Antrag auf Vorbescheid Art. 64 BayBO in Verbindung mit § 8 entsprechend.</w:t>
      </w:r>
    </w:p>
    <w:p>
      <w:r>
        <w:rPr>
          <w:color w:val="555555"/>
          <w:sz w:val="17"/>
        </w:rPr>
        <w:t xml:space="preserve">Zitiervorschlag: § 10 DBauV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https://recht.nulegal.eu/gesetze/DBauV/10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