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Eingangsformel DBV</w:t>
      </w:r>
    </w:p>
    <w:p>
      <w:r>
        <w:rPr>
          <w:color w:val="555555"/>
          <w:sz w:val="18"/>
        </w:rPr>
        <w:t xml:space="preserve">Drittstaatsangehörigenberatungsverordnung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Auf Grund des § 45b Absatz 3 Satz 1 des Aufenthaltsgesetzes in der Fassung der Bekanntmachung vom 25. Februar 2008 (BGBl. I S. 162), der durch Artikel 2 Nummer 19 des Gesetzes vom 16. August 2023 (BGBl. 2023 I Nr. 217) eingefügt worden ist, verordnet das Bundesministerium für Arbeit und Soziales:</w:t>
      </w:r>
    </w:p>
    <w:p>
      <w:r>
        <w:rPr>
          <w:color w:val="555555"/>
          <w:sz w:val="17"/>
        </w:rPr>
        <w:t xml:space="preserve">Zitiervorschlag: Eingangsformel DBV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https://recht.nulegal.eu/gesetze/DBV/eingangsformel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