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DBV — Antragsberechtigte</w:t>
      </w:r>
    </w:p>
    <w:p>
      <w:r>
        <w:rPr>
          <w:color w:val="555555"/>
          <w:sz w:val="18"/>
        </w:rPr>
        <w:t xml:space="preserve">Drittstaatsangehörigenberatungsverordnung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Antragsberechtigt für einen Zuschuss nach § 7 sind</w:t>
      </w:r>
    </w:p>
    <w:p>
      <w:pPr>
        <w:ind w:left="420"/>
      </w:pPr>
      <w:r>
        <w:t xml:space="preserve">1. juristische Personen des privaten und des öffentlichen Rechts mit Sitz und Arbeitsstätte in Deutschland sowie</w:t>
      </w:r>
    </w:p>
    <w:p>
      <w:pPr>
        <w:ind w:left="420"/>
      </w:pPr>
      <w:r>
        <w:t xml:space="preserve">2. rechtsfähige Personengesellschaften mit Sitz und Arbeitsstätte in Deutschland.</w:t>
      </w:r>
    </w:p>
    <w:p>
      <w:r>
        <w:rPr>
          <w:color w:val="555555"/>
          <w:sz w:val="17"/>
        </w:rPr>
        <w:t xml:space="preserve">Zitiervorschlag: § 5 DBV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