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DBSchichtZulErhV</w:t>
      </w:r>
    </w:p>
    <w:p>
      <w:r>
        <w:rPr>
          <w:color w:val="555555"/>
          <w:sz w:val="18"/>
        </w:rPr>
        <w:t xml:space="preserve">Deutsche-Bahn-Schichtzulagenerhöhungsverordnung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47 Absatz 1 und 2 Nummer 1 des Bundesbesoldungsgesetzes in Verbindung mit § 24 Absatz 2 Satz 1 und 2 Nummer 1 der Erschwerniszulagenverordnung, von denen</w:t>
      </w:r>
    </w:p>
    <w:p>
      <w:pPr>
        <w:ind w:left="420"/>
      </w:pPr>
      <w:r>
        <w:t xml:space="preserve">– § 47 Absatz 2 Nummer 1 des Bundesbesoldungsgesetzes durch Artikel 43 Nummer 1 der Verordnung vom 31. August 2015 (BGBl. I S. 1474) geändert worden ist,</w:t>
      </w:r>
    </w:p>
    <w:p>
      <w:pPr>
        <w:ind w:left="420"/>
      </w:pPr>
      <w:r>
        <w:t xml:space="preserve">– § 24 Absatz 2 Satz 1 der Erschwerniszulagenverordnung durch Artikel 2 Nummer 20 der Verordnung vom 20. August 2013 (BGBl. I S. 3286) eingefügt worden ist und</w:t>
      </w:r>
    </w:p>
    <w:p>
      <w:pPr>
        <w:ind w:left="420"/>
      </w:pPr>
      <w:r>
        <w:t xml:space="preserve">– § 24 Absatz 2 Satz 2 Nummer 1 der Erschwerniszulagenverordnung durch Artikel 44 der Verordnung vom 31. August 2015 (BGBl. I S. 1474) geändert worden ist,</w:t>
      </w:r>
    </w:p>
    <w:p>
      <w:r>
        <w:t xml:space="preserve">verordnet das Bundesministerium für Verkehr und digitale Infrastruktur im Einvernehmen mit dem Bundesministerium der Finanzen und dem Bundesministerium des Innern:</w:t>
      </w:r>
    </w:p>
    <w:p>
      <w:r>
        <w:rPr>
          <w:color w:val="555555"/>
          <w:sz w:val="17"/>
        </w:rPr>
        <w:t xml:space="preserve">Zitiervorschlag: Eingangsformel DBSchichtZulErhV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https://recht.nulegal.eu/gesetze/DBSchichtZulErhV/eingangsformel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