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DBSchichtZulErhV — Inkrafttreten</w:t>
      </w:r>
    </w:p>
    <w:p>
      <w:r>
        <w:rPr>
          <w:color w:val="555555"/>
          <w:sz w:val="18"/>
        </w:rPr>
        <w:t xml:space="preserve">Deutsche-Bahn-Schichtzulagenerhöhungsverordnung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Januar 2015 in Kraft.</w:t>
      </w:r>
    </w:p>
    <w:p>
      <w:r>
        <w:rPr>
          <w:color w:val="555555"/>
          <w:sz w:val="17"/>
        </w:rPr>
        <w:t xml:space="preserve">Zitiervorschlag: § 2 DBSchichtZulErhV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https://recht.nulegal.eu/gesetze/DBSchichtZulErhV/2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