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DBPDirErnAnO</w:t>
      </w:r>
    </w:p>
    <w:p>
      <w:r>
        <w:rPr>
          <w:color w:val="555555"/>
          <w:sz w:val="18"/>
        </w:rPr>
        <w:t xml:space="preserve">Anordnung über die Ernennung und Entlassung von Beamten und Beamtinnen im 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Wirkung vom 11. Juni 1990 in Kraft. Gleichzeitig tritt insoweit die Anordnung über die Ernennung und Entlassung von Beamten im Geschäftsbereich des Bundesministers für das Post- und Fernmeldewesen vom 6. Juli 1982 (BGBl. I S. 959) außer Kraft.</w:t>
      </w:r>
    </w:p>
    <w:p>
      <w:r>
        <w:rPr>
          <w:color w:val="555555"/>
          <w:sz w:val="17"/>
        </w:rPr>
        <w:t xml:space="preserve">Zitiervorschlag: III. DBPDirErnAnO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https://recht.nulegal.eu/gesetze/DBPDirErnAnO/iii.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