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DBGrG — Anwendung des Gründungsrechts</w:t>
      </w:r>
    </w:p>
    <w:p>
      <w:r>
        <w:rPr>
          <w:color w:val="555555"/>
          <w:sz w:val="18"/>
        </w:rPr>
        <w:t xml:space="preserve">Deutsche Bahn Gründungsgesetz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die Gründung der Deutsche Bahn Aktiengesellschaft sind die für ihre Rechtsform geltenden Gründungsvorschriften anzuwenden, soweit sich aus diesem Gesetz nichts anderes ergibt. Den Gründern steht die Bundesrepublik Deutschland gleich.</w:t>
      </w:r>
    </w:p>
    <w:p>
      <w:r>
        <w:t xml:space="preserve">(2) Das Bundesministerium für Verkehr bestellt den ersten Aufsichtsrat, den ersten Vorstand sowie für das erste Voll- oder Rumpfgeschäftsjahr den ersten Abschlußprüfer.</w:t>
      </w:r>
    </w:p>
    <w:p>
      <w:r>
        <w:rPr>
          <w:color w:val="555555"/>
          <w:sz w:val="17"/>
        </w:rPr>
        <w:t xml:space="preserve">Zitiervorschlag: § 5 DBGrG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https://recht.nulegal.eu/gesetze/DBGrG/5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