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DBGrG — Gegenstand des Unternehmens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des Unternehmens der Gesellschaft ist</w:t>
      </w:r>
    </w:p>
    <w:p>
      <w:pPr>
        <w:ind w:left="420"/>
      </w:pPr>
      <w:r>
        <w:t xml:space="preserve">1. das Erbringen von Eisenbahnverkehrsleistungen zur Beförderung von Gütern und Personen;</w:t>
      </w:r>
    </w:p>
    <w:p>
      <w:pPr>
        <w:ind w:left="420"/>
      </w:pPr>
      <w:r>
        <w:t xml:space="preserve">2. das Betreiben der Eisenbahninfrastruktur; dazu zählen insbesondere die Planung, der Bau, die Unterhaltung sowie die Führung der Betriebsleit- und Sicherheitssysteme;</w:t>
      </w:r>
    </w:p>
    <w:p>
      <w:pPr>
        <w:ind w:left="420"/>
      </w:pPr>
      <w:r>
        <w:t xml:space="preserve">3. Geschäftstätigkeiten in dem Eisenbahnverkehr verwandten Bereichen.</w:t>
      </w:r>
    </w:p>
    <w:p>
      <w:r>
        <w:t xml:space="preserve">(2) Durch Änderung der Satzung der Gesellschaft kann der Gegenstand des Unternehmens erweitert werden.</w:t>
      </w:r>
    </w:p>
    <w:p>
      <w:r>
        <w:t xml:space="preserve">(3) Die Gesellschaft kann sich an Unternehmen gleicher oder verwandter Art beteiligen sowie solche Unternehmen gründen und erwerben. Sie kann unbeschadet der in § 2 genannten Verpflichtung Teile des Gegenstandes ihres Unternehmens im Sinne des Absatzes 1 ganz oder teilweise in solche Unternehmen ausgliedern und sich auf Leitungsaufgaben beschränken.</w:t>
      </w:r>
    </w:p>
    <w:p>
      <w:r>
        <w:rPr>
          <w:color w:val="555555"/>
          <w:sz w:val="17"/>
        </w:rPr>
        <w:t xml:space="preserve">Zitiervorschlag: § 3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