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DBGrG — Prüfungsrechte des Bundesrechnungshofes</w:t>
      </w:r>
    </w:p>
    <w:p>
      <w:r>
        <w:rPr>
          <w:color w:val="555555"/>
          <w:sz w:val="18"/>
        </w:rPr>
        <w:t xml:space="preserve">Deutsche Bahn Gründungsgesetz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 der Betätigung des Bundes bei der Deutsche Bahn Aktiengesellschaft sowie bei den durch Ausgliederung gemäß § 2 Abs. 1 oder § 3 Abs. 3 errichteten Gesellschaften richtet sich nach § 92 der Bundeshaushaltsordnung.</w:t>
      </w:r>
    </w:p>
    <w:p>
      <w:r>
        <w:t xml:space="preserve">(2) Bei der Prüfung der Leistungen nach diesem Gesetz oder nach dem Bundesschienenwegeausbaugesetz an die Deutsche Bahn Aktiengesellschaft sowie an die durch Ausgliederung gemäß § 2 Abs. 1 oder § 3 Abs. 3 errichteten Gesellschaften hat der Bundesrechnungshof die Rechte nach § 91 Abs. 2 Satz 1 der Bundeshaushaltsordnung. Prüfungsrechte des Bundesrechnungshofes hinsichtlich anderer Leistungen bleiben unberührt.</w:t>
      </w:r>
    </w:p>
    <w:p>
      <w:r>
        <w:rPr>
          <w:color w:val="555555"/>
          <w:sz w:val="17"/>
        </w:rPr>
        <w:t xml:space="preserve">Zitiervorschlag: § 27 DBGrG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https://recht.nulegal.eu/gesetze/DBGrG/27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