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DBGrG — Beteiligung an Sozialeinrichtungen, Anerkennung</w:t>
      </w:r>
    </w:p>
    <w:p>
      <w:r>
        <w:rPr>
          <w:color w:val="555555"/>
          <w:sz w:val="18"/>
        </w:rPr>
        <w:t xml:space="preserve">Deutsche Bahn Gründungsgesetz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Deutsche Bahn Aktiengesellschaft hat spätestens nach Ablauf von sechs Monaten nach ihrer Eintragung im Handelsregister gegenüber dem Bundeseisenbahnvermögen zu erklären, ob sie sich an der Bahnversicherungsanstalt Abteilung B und an einzelnen der in der Anlage zu § 15 Abs. 2 des Gesetzes zur Zusammenführung und Neugliederung der Bundeseisenbahnen aufgeführten betrieblichen Sozialeinrichtungen oder Selbsthilfeeinrichtungen des Bundeseisenbahnvermögens beteiligt oder diese anerkennt.</w:t>
      </w:r>
    </w:p>
    <w:p>
      <w:r>
        <w:rPr>
          <w:color w:val="555555"/>
          <w:sz w:val="17"/>
        </w:rPr>
        <w:t xml:space="preserve">Zitiervorschlag: § 26 DBGrG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https://recht.nulegal.eu/gesetze/DBGrG/26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