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DBGrG — Interne Gliederung</w:t>
      </w:r>
    </w:p>
    <w:p>
      <w:r>
        <w:rPr>
          <w:color w:val="555555"/>
          <w:sz w:val="18"/>
        </w:rPr>
        <w:t xml:space="preserve">Deutsche Bahn Gründungsgesetz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Innerhalb der Deutsche Bahn Aktiengesellschaft sind mindestens die Bereiche "Personennahverkehr", "Personenfernverkehr", "Güterverkehr" und "Fahrweg" organisatorisch und rechnerisch voneinander zu trennen. Die Vermögenswerte sind den jeweiligen Bereichen zuzuordnen.</w:t>
      </w:r>
    </w:p>
    <w:p>
      <w:r>
        <w:rPr>
          <w:color w:val="555555"/>
          <w:sz w:val="17"/>
        </w:rPr>
        <w:t xml:space="preserve">Zitiervorschlag: § 25 DBGrG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https://recht.nulegal.eu/gesetze/DBGrG/25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