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DBGrG — Geltung arbeitsrechtlicher Vorschriften</w:t>
      </w:r>
    </w:p>
    <w:p>
      <w:r>
        <w:rPr>
          <w:color w:val="555555"/>
          <w:sz w:val="18"/>
        </w:rPr>
        <w:t xml:space="preserve">Deutsche Bahn Gründungsgesetz</w:t>
      </w:r>
    </w:p>
    <w:p>
      <w:r>
        <w:rPr>
          <w:color w:val="555555"/>
          <w:sz w:val="18"/>
        </w:rPr>
        <w:t xml:space="preserve">Stand: 10.06.2019 (konsolidierte Textfassung, kein amtliches Inkrafttretensdatum)</w:t>
      </w:r>
    </w:p>
    <w:p>
      <w:r>
        <w:t xml:space="preserve">(1) Die Beamten des Bundeseisenbahnvermögens, die nach § 12 Abs. 2 und 3 der Deutsche Bahn Aktiengesellschaft zugewiesen sind, gelten für die Anwendung von Vorschriften über die Vertretung der Arbeitnehmer im Aufsichtsrat, für die Anwendung des Betriebsverfassungsgesetzes und des Sprecherausschußgesetzes als Arbeitnehmer der Deutsche Bahn Aktiengesellschaft. Sie gelten für die Anwendung der Vorschriften über die Schwerbehindertenvertretung als Beschäftigte der Deutsche Bahn Aktiengesellschaft.</w:t>
      </w:r>
    </w:p>
    <w:p>
      <w:r>
        <w:t xml:space="preserve">(2) Soweit die Deutsche Bahn Aktiengesellschaft Verpflichtungen, die ihr nach dem Betriebsverfassungsgesetz und dem Sprecherausschußgesetz vom 20. Dezember 1988 (BGBl. I S. 2316) sowie nach den Vorschriften über die Vertretung der Arbeitnehmer im Aufsichtsrat und über die Schwerbehindertenvertretung obliegen, deshalb nicht erfüllen kann, weil sie nicht Dienstherr der ihr gemäß § 12 Abs. 2 und 3 zugewiesenen Beamten ist, treffen diese Verpflichtungen das Bundeseisenbahnvermögen.</w:t>
      </w:r>
    </w:p>
    <w:p>
      <w:r>
        <w:rPr>
          <w:color w:val="555555"/>
          <w:sz w:val="17"/>
        </w:rPr>
        <w:t xml:space="preserve">Zitiervorschlag: § 19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