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DBGrG — Steuerliche Vorschriften</w:t>
      </w:r>
    </w:p>
    <w:p>
      <w:r>
        <w:rPr>
          <w:color w:val="555555"/>
          <w:sz w:val="18"/>
        </w:rPr>
        <w:t xml:space="preserve">Deutsche Bahn Gründungsgesetz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steuerrechtliche Eröffnungsbilanz entspricht der geprüften handelsrechtlichen Eröffnungsbilanz (§ 242 Abs. 1 des Handelsgesetzbuchs) der Deutsche Bahn Aktiengesellschaft; die folgenden Besonderheiten sind zu beachten. § 5 Abs. 2, 3, 4 und 5 und § 6a des Einkommensteuergesetzes sind anzuwenden. Rückstellungen nach § 249 Abs. 1 Satz 3 und Abs. 2 des Handelsgesetzbuchs dürfen nicht gebildet werden. § 9 Abs. 2 Satz 3 und Abs. 3 des D-Markbilanzgesetzes ist nicht anzuwenden. Die Berichtigung von Ansätzen nach § 10 Abs. 4 Satz 2 führt zu einer Berichtigung der steuerlichen Eröffnungsbilanz und etwaiger Folgebilanzen. Sind bereits Steuerbescheide erlassen worden, so sind sie zu ändern, soweit die Berichtigung von Bilanz- oder Wertansätzen zu einem geänderten Gewinn oder Verlust führt oder sich auf die Feststellung von Einheitswerten auswirkt.</w:t>
      </w:r>
    </w:p>
    <w:p>
      <w:r>
        <w:t xml:space="preserve">(2) Rechtsvorgänge im Sinne des Grunderwerbsteuergesetzes, die sich aus der Durchführung der §§ 20 bis 24 des Gesetzes zur Zusammenführung und Neugliederung der Bundeseisenbahnen ergeben, sind von der Grunderwerbsteuer befreit.</w:t>
      </w:r>
    </w:p>
    <w:p>
      <w:r>
        <w:t xml:space="preserve">(3) Die Absätze 1 und 2 gelten für Gesellschaften, die im Wege der Ausgliederung nach § 2 Abs. 1 errichtet werden, entsprechend.</w:t>
      </w:r>
    </w:p>
    <w:p>
      <w:r>
        <w:rPr>
          <w:color w:val="555555"/>
          <w:sz w:val="17"/>
        </w:rPr>
        <w:t xml:space="preserve">Zitiervorschlag: § 11 DBGrG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https://recht.nulegal.eu/gesetze/DBGrG/11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