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DBBATZV</w:t>
      </w:r>
    </w:p>
    <w:p>
      <w:r>
        <w:rPr>
          <w:color w:val="555555"/>
          <w:sz w:val="18"/>
        </w:rPr>
        <w:t xml:space="preserve">Deutsche-Bank-Beamtenaltersteilzeitverordnung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Grund des § 3 Absatz 3 Satz 1 Nummer 4 und des § 10 Absatz 1 des Postpersonalrechtsgesetzes, von denen § 3 Absatz 3 Satz 1 Nummer 4 zuletzt durch Artikel 315 der Verordnung vom 19. Juni 2020 (BGBl. I S. 1328) und § 10 Absatz 1 zuletzt durch Artikel 2 Nummer 3 des Gesetzes vom 27. Juni 2017 (BGBl. I S. 1944) geändert worden ist, verordnet das Bundesministerium der Finanzen nach Anhörung des Vorstands der Deutschen Bank AG im Einvernehmen mit dem Bundesministerium des Innern, für Bau und Heimat:</w:t>
      </w:r>
    </w:p>
    <w:p>
      <w:r>
        <w:rPr>
          <w:color w:val="555555"/>
          <w:sz w:val="17"/>
        </w:rPr>
        <w:t xml:space="preserve">Zitiervorschlag: Eingangsformel DBBATZV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https://recht.nulegal.eu/gesetze/DBBATZV/eingangsformel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