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DBBATZV — Inkrafttreten</w:t>
      </w:r>
    </w:p>
    <w:p>
      <w:r>
        <w:rPr>
          <w:color w:val="555555"/>
          <w:sz w:val="18"/>
        </w:rPr>
        <w:t xml:space="preserve">Deutsche-Bank-Beamtenaltersteilzeitverordnung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Diese Verordnung tritt am 1. Januar 2021 in Kraft.</w:t>
      </w:r>
    </w:p>
    <w:p>
      <w:r>
        <w:rPr>
          <w:color w:val="555555"/>
          <w:sz w:val="17"/>
        </w:rPr>
        <w:t xml:space="preserve">Zitiervorschlag: § 3 DBBATZV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https://recht.nulegal.eu/gesetze/DBBATZV/3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